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0D" w:rsidRDefault="008F6DA4">
      <w:pPr>
        <w:widowControl w:val="0"/>
        <w:pBdr>
          <w:top w:val="nil"/>
          <w:left w:val="nil"/>
          <w:bottom w:val="nil"/>
          <w:right w:val="nil"/>
          <w:between w:val="nil"/>
        </w:pBdr>
        <w:spacing w:line="276" w:lineRule="auto"/>
      </w:pPr>
      <w:r>
        <w:pict w14:anchorId="1A561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2A510D" w:rsidRDefault="00D52ADF">
      <w:pPr>
        <w:pStyle w:val="Cm"/>
        <w:rPr>
          <w:rFonts w:ascii="Arial" w:eastAsia="Arial" w:hAnsi="Arial" w:cs="Arial"/>
          <w:sz w:val="32"/>
          <w:szCs w:val="32"/>
        </w:rPr>
      </w:pPr>
      <w:proofErr w:type="spellStart"/>
      <w:r>
        <w:rPr>
          <w:rFonts w:ascii="Arial" w:eastAsia="Arial" w:hAnsi="Arial" w:cs="Arial"/>
          <w:sz w:val="32"/>
          <w:szCs w:val="32"/>
        </w:rPr>
        <w:t>Good</w:t>
      </w:r>
      <w:proofErr w:type="spellEnd"/>
      <w:r>
        <w:rPr>
          <w:rFonts w:ascii="Arial" w:eastAsia="Arial" w:hAnsi="Arial" w:cs="Arial"/>
          <w:sz w:val="32"/>
          <w:szCs w:val="32"/>
        </w:rPr>
        <w:t xml:space="preserve"> Practice </w:t>
      </w:r>
      <w:proofErr w:type="spellStart"/>
      <w:r>
        <w:rPr>
          <w:rFonts w:ascii="Arial" w:eastAsia="Arial" w:hAnsi="Arial" w:cs="Arial"/>
          <w:sz w:val="32"/>
          <w:szCs w:val="32"/>
        </w:rPr>
        <w:t>template</w:t>
      </w:r>
      <w:proofErr w:type="spellEnd"/>
    </w:p>
    <w:p w:rsidR="002A510D" w:rsidRDefault="002A510D">
      <w:pPr>
        <w:pStyle w:val="Cm"/>
        <w:rPr>
          <w:rFonts w:ascii="Arial" w:eastAsia="Arial" w:hAnsi="Arial" w:cs="Arial"/>
          <w:sz w:val="32"/>
          <w:szCs w:val="32"/>
        </w:rPr>
      </w:pPr>
    </w:p>
    <w:p w:rsidR="002A510D" w:rsidRDefault="00D52ADF">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All Good Practices identified by an Interreg Europe project and reported in the progress reports have to be submitted to the Programme. </w:t>
      </w:r>
    </w:p>
    <w:p w:rsidR="002A510D" w:rsidRDefault="00D52ADF">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order to submit a practice, you will have to register in the Interreg Europe website. Online submission will be available the first semester of 2017.</w:t>
      </w:r>
    </w:p>
    <w:p w:rsidR="002A510D" w:rsidRDefault="00D52ADF">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NB: in </w:t>
      </w:r>
      <w:r>
        <w:rPr>
          <w:rFonts w:ascii="Arial" w:eastAsia="Arial" w:hAnsi="Arial" w:cs="Arial"/>
          <w:color w:val="ED7D31"/>
        </w:rPr>
        <w:t>orange</w:t>
      </w:r>
      <w:r>
        <w:rPr>
          <w:rFonts w:ascii="Arial" w:eastAsia="Arial" w:hAnsi="Arial" w:cs="Arial"/>
          <w:color w:val="000000"/>
        </w:rPr>
        <w:t>: 2 optional fields. All other fields are compulsory.</w:t>
      </w:r>
    </w:p>
    <w:p w:rsidR="002A510D" w:rsidRPr="00CA1F5A" w:rsidRDefault="002A510D">
      <w:pPr>
        <w:pStyle w:val="Cm"/>
        <w:rPr>
          <w:rFonts w:ascii="Arial" w:eastAsia="Arial" w:hAnsi="Arial" w:cs="Arial"/>
          <w:sz w:val="28"/>
          <w:szCs w:val="28"/>
          <w:lang w:val="en-GB"/>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521"/>
      </w:tblGrid>
      <w:tr w:rsidR="002A510D">
        <w:trPr>
          <w:trHeight w:val="232"/>
        </w:trPr>
        <w:tc>
          <w:tcPr>
            <w:tcW w:w="9918" w:type="dxa"/>
            <w:gridSpan w:val="2"/>
            <w:shd w:val="clear" w:color="auto" w:fill="DEEBF6"/>
            <w:vAlign w:val="center"/>
          </w:tcPr>
          <w:p w:rsidR="002A510D" w:rsidRDefault="00D52ADF">
            <w:pPr>
              <w:numPr>
                <w:ilvl w:val="0"/>
                <w:numId w:val="1"/>
              </w:num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General information</w:t>
            </w:r>
          </w:p>
        </w:tc>
      </w:tr>
      <w:tr w:rsidR="002A510D">
        <w:trPr>
          <w:trHeight w:val="233"/>
        </w:trPr>
        <w:tc>
          <w:tcPr>
            <w:tcW w:w="33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Title of the practice</w:t>
            </w:r>
          </w:p>
        </w:tc>
        <w:tc>
          <w:tcPr>
            <w:tcW w:w="6521" w:type="dxa"/>
            <w:tcBorders>
              <w:top w:val="single" w:sz="4" w:space="0" w:color="000000"/>
              <w:left w:val="single" w:sz="4" w:space="0" w:color="000000"/>
              <w:bottom w:val="single" w:sz="4" w:space="0" w:color="000000"/>
              <w:right w:val="single" w:sz="4" w:space="0" w:color="000000"/>
            </w:tcBorders>
            <w:vAlign w:val="center"/>
          </w:tcPr>
          <w:p w:rsidR="002A510D" w:rsidRDefault="00D52ADF">
            <w:pPr>
              <w:spacing w:before="60" w:after="60"/>
              <w:rPr>
                <w:rFonts w:ascii="Arial" w:eastAsia="Arial" w:hAnsi="Arial" w:cs="Arial"/>
                <w:b/>
                <w:i/>
                <w:sz w:val="20"/>
                <w:szCs w:val="20"/>
              </w:rPr>
            </w:pPr>
            <w:r>
              <w:rPr>
                <w:rFonts w:ascii="Arial" w:eastAsia="Arial" w:hAnsi="Arial" w:cs="Arial"/>
                <w:i/>
                <w:sz w:val="20"/>
                <w:szCs w:val="20"/>
              </w:rPr>
              <w:t>SCN4ALL</w:t>
            </w:r>
          </w:p>
        </w:tc>
      </w:tr>
      <w:tr w:rsidR="002A510D">
        <w:trPr>
          <w:trHeight w:val="233"/>
        </w:trPr>
        <w:tc>
          <w:tcPr>
            <w:tcW w:w="33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Does this practice come from an Interreg Europe Project</w:t>
            </w:r>
          </w:p>
        </w:tc>
        <w:tc>
          <w:tcPr>
            <w:tcW w:w="6521" w:type="dxa"/>
            <w:tcBorders>
              <w:top w:val="single" w:sz="4" w:space="0" w:color="000000"/>
              <w:left w:val="single" w:sz="4" w:space="0" w:color="000000"/>
              <w:bottom w:val="single" w:sz="4" w:space="0" w:color="000000"/>
              <w:right w:val="single" w:sz="4" w:space="0" w:color="000000"/>
            </w:tcBorders>
            <w:vAlign w:val="center"/>
          </w:tcPr>
          <w:p w:rsidR="002A510D" w:rsidRDefault="00D52ADF">
            <w:pPr>
              <w:spacing w:before="60" w:after="60"/>
              <w:rPr>
                <w:rFonts w:ascii="Arial" w:eastAsia="Arial" w:hAnsi="Arial" w:cs="Arial"/>
                <w:i/>
                <w:sz w:val="16"/>
                <w:szCs w:val="16"/>
              </w:rPr>
            </w:pPr>
            <w:r>
              <w:rPr>
                <w:rFonts w:ascii="Arial" w:eastAsia="Arial" w:hAnsi="Arial" w:cs="Arial"/>
                <w:i/>
                <w:sz w:val="16"/>
                <w:szCs w:val="16"/>
              </w:rPr>
              <w:t xml:space="preserve">Yes </w:t>
            </w:r>
            <w:sdt>
              <w:sdtPr>
                <w:tag w:val="goog_rdk_0"/>
                <w:id w:val="65081839"/>
              </w:sdtPr>
              <w:sdtEndPr/>
              <w:sdtContent>
                <w:r>
                  <w:rPr>
                    <w:rFonts w:ascii="Arial" w:eastAsia="Arial" w:hAnsi="Arial" w:cs="Arial"/>
                    <w:i/>
                    <w:sz w:val="16"/>
                    <w:szCs w:val="16"/>
                  </w:rPr>
                  <w:t>or no</w:t>
                </w:r>
              </w:sdtContent>
            </w:sdt>
          </w:p>
          <w:p w:rsidR="002A510D" w:rsidRDefault="00D52ADF">
            <w:pPr>
              <w:spacing w:before="60" w:after="60"/>
              <w:rPr>
                <w:rFonts w:ascii="Arial" w:eastAsia="Arial" w:hAnsi="Arial" w:cs="Arial"/>
                <w:i/>
                <w:sz w:val="16"/>
                <w:szCs w:val="16"/>
              </w:rPr>
            </w:pPr>
            <w:r>
              <w:rPr>
                <w:rFonts w:ascii="Arial" w:eastAsia="Arial" w:hAnsi="Arial" w:cs="Arial"/>
                <w:i/>
                <w:sz w:val="16"/>
                <w:szCs w:val="16"/>
              </w:rPr>
              <w:t>[Technical: Good Practices outside the IR-E projects relevant to the topics and validated by the Policy Learning Platforms experts will also be included in the database]</w:t>
            </w:r>
          </w:p>
        </w:tc>
      </w:tr>
    </w:tbl>
    <w:p w:rsidR="002A510D" w:rsidRDefault="002A510D"/>
    <w:p w:rsidR="002A510D" w:rsidRDefault="00D52ADF">
      <w:pPr>
        <w:rPr>
          <w:rFonts w:ascii="Arial" w:eastAsia="Arial" w:hAnsi="Arial" w:cs="Arial"/>
        </w:rPr>
      </w:pPr>
      <w:r>
        <w:rPr>
          <w:rFonts w:ascii="Arial" w:eastAsia="Arial" w:hAnsi="Arial" w:cs="Arial"/>
        </w:rPr>
        <w:t>In case ‘yes’ is selected, the following sections appear:</w:t>
      </w:r>
    </w:p>
    <w:p w:rsidR="002A510D" w:rsidRDefault="002A510D"/>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237"/>
      </w:tblGrid>
      <w:tr w:rsidR="002A510D">
        <w:trPr>
          <w:trHeight w:val="233"/>
        </w:trPr>
        <w:tc>
          <w:tcPr>
            <w:tcW w:w="368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A510D" w:rsidRDefault="00D52ADF">
            <w:pPr>
              <w:spacing w:before="60" w:after="60"/>
              <w:rPr>
                <w:rFonts w:ascii="Arial" w:eastAsia="Arial" w:hAnsi="Arial" w:cs="Arial"/>
                <w:b/>
                <w:i/>
                <w:sz w:val="20"/>
                <w:szCs w:val="20"/>
              </w:rPr>
            </w:pPr>
            <w:r>
              <w:rPr>
                <w:rFonts w:ascii="Arial" w:eastAsia="Arial" w:hAnsi="Arial" w:cs="Arial"/>
                <w:b/>
                <w:i/>
                <w:sz w:val="20"/>
                <w:szCs w:val="20"/>
              </w:rPr>
              <w:t>Please select the project acronym</w:t>
            </w:r>
          </w:p>
        </w:tc>
        <w:tc>
          <w:tcPr>
            <w:tcW w:w="6237" w:type="dxa"/>
            <w:tcBorders>
              <w:top w:val="single" w:sz="4" w:space="0" w:color="000000"/>
              <w:left w:val="single" w:sz="4" w:space="0" w:color="000000"/>
              <w:bottom w:val="single" w:sz="4" w:space="0" w:color="000000"/>
              <w:right w:val="single" w:sz="4" w:space="0" w:color="000000"/>
            </w:tcBorders>
            <w:vAlign w:val="center"/>
          </w:tcPr>
          <w:p w:rsidR="002A510D" w:rsidRDefault="00D52ADF">
            <w:pPr>
              <w:spacing w:before="60" w:after="60"/>
              <w:rPr>
                <w:rFonts w:ascii="Arial" w:eastAsia="Arial" w:hAnsi="Arial" w:cs="Arial"/>
                <w:i/>
                <w:sz w:val="22"/>
                <w:szCs w:val="22"/>
              </w:rPr>
            </w:pPr>
            <w:r>
              <w:rPr>
                <w:rFonts w:ascii="Arial" w:eastAsia="Arial" w:hAnsi="Arial" w:cs="Arial"/>
                <w:i/>
                <w:sz w:val="22"/>
                <w:szCs w:val="22"/>
              </w:rPr>
              <w:t>HoCare</w:t>
            </w:r>
          </w:p>
        </w:tc>
      </w:tr>
    </w:tbl>
    <w:p w:rsidR="002A510D" w:rsidRDefault="002A510D"/>
    <w:p w:rsidR="002A510D" w:rsidRDefault="002A510D"/>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342"/>
        <w:gridCol w:w="5179"/>
      </w:tblGrid>
      <w:tr w:rsidR="002A510D">
        <w:trPr>
          <w:trHeight w:val="233"/>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Specific objective</w:t>
            </w:r>
          </w:p>
        </w:tc>
        <w:tc>
          <w:tcPr>
            <w:tcW w:w="6521" w:type="dxa"/>
            <w:gridSpan w:val="2"/>
            <w:vAlign w:val="center"/>
          </w:tcPr>
          <w:p w:rsidR="002A510D" w:rsidRDefault="00D52ADF">
            <w:pPr>
              <w:spacing w:before="60" w:after="60"/>
            </w:pPr>
            <w:r>
              <w:rPr>
                <w:rFonts w:ascii="Arial" w:eastAsia="Arial" w:hAnsi="Arial" w:cs="Arial"/>
                <w:i/>
                <w:sz w:val="16"/>
                <w:szCs w:val="16"/>
              </w:rPr>
              <w:t>Drop-down list of the 6 specific objectives</w:t>
            </w:r>
            <w:r>
              <w:t xml:space="preserve"> </w:t>
            </w:r>
          </w:p>
          <w:p w:rsidR="002A510D" w:rsidRDefault="00D52ADF">
            <w:pPr>
              <w:spacing w:before="60" w:after="60"/>
              <w:rPr>
                <w:rFonts w:ascii="Arial" w:eastAsia="Arial" w:hAnsi="Arial" w:cs="Arial"/>
                <w:i/>
                <w:sz w:val="16"/>
                <w:szCs w:val="16"/>
              </w:rPr>
            </w:pPr>
            <w:r>
              <w:rPr>
                <w:rFonts w:ascii="Arial" w:eastAsia="Arial" w:hAnsi="Arial" w:cs="Arial"/>
                <w:i/>
                <w:sz w:val="16"/>
                <w:szCs w:val="16"/>
              </w:rPr>
              <w:t>[Technical:</w:t>
            </w:r>
            <w:r>
              <w:t xml:space="preserve"> </w:t>
            </w:r>
            <w:r>
              <w:rPr>
                <w:rFonts w:ascii="Arial" w:eastAsia="Arial" w:hAnsi="Arial" w:cs="Arial"/>
                <w:i/>
                <w:sz w:val="16"/>
                <w:szCs w:val="16"/>
              </w:rPr>
              <w:t>In case a project is selected, the specific objective is automatically completed]</w:t>
            </w:r>
          </w:p>
        </w:tc>
      </w:tr>
      <w:tr w:rsidR="002A510D">
        <w:trPr>
          <w:trHeight w:val="233"/>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Main institution involved</w:t>
            </w:r>
          </w:p>
        </w:tc>
        <w:tc>
          <w:tcPr>
            <w:tcW w:w="6521" w:type="dxa"/>
            <w:gridSpan w:val="2"/>
            <w:vAlign w:val="center"/>
          </w:tcPr>
          <w:p w:rsidR="002A510D" w:rsidRDefault="00D52ADF">
            <w:pPr>
              <w:spacing w:before="60" w:after="60"/>
              <w:rPr>
                <w:rFonts w:ascii="Arial" w:eastAsia="Arial" w:hAnsi="Arial" w:cs="Arial"/>
                <w:i/>
                <w:sz w:val="16"/>
                <w:szCs w:val="16"/>
              </w:rPr>
            </w:pPr>
            <w:r>
              <w:rPr>
                <w:rFonts w:ascii="Arial" w:eastAsia="Arial" w:hAnsi="Arial" w:cs="Arial"/>
                <w:i/>
                <w:sz w:val="16"/>
                <w:szCs w:val="16"/>
              </w:rPr>
              <w:t>[Technical: The name of the institution and location of the practice are per default those of the practice author. They remain editable.]</w:t>
            </w:r>
          </w:p>
        </w:tc>
      </w:tr>
      <w:tr w:rsidR="002A510D">
        <w:trPr>
          <w:trHeight w:val="232"/>
        </w:trPr>
        <w:tc>
          <w:tcPr>
            <w:tcW w:w="3397" w:type="dxa"/>
            <w:vMerge w:val="restart"/>
            <w:shd w:val="clear" w:color="auto" w:fill="DEEBF6"/>
          </w:tcPr>
          <w:p w:rsidR="002A510D" w:rsidRDefault="00D52ADF">
            <w:pPr>
              <w:spacing w:before="60" w:after="60"/>
              <w:rPr>
                <w:rFonts w:ascii="Arial" w:eastAsia="Arial" w:hAnsi="Arial" w:cs="Arial"/>
                <w:b/>
                <w:sz w:val="20"/>
                <w:szCs w:val="20"/>
              </w:rPr>
            </w:pPr>
            <w:r>
              <w:rPr>
                <w:rFonts w:ascii="Arial" w:eastAsia="Arial" w:hAnsi="Arial" w:cs="Arial"/>
                <w:b/>
                <w:sz w:val="20"/>
                <w:szCs w:val="20"/>
              </w:rPr>
              <w:t>Location of the practice</w:t>
            </w:r>
          </w:p>
        </w:tc>
        <w:tc>
          <w:tcPr>
            <w:tcW w:w="1342" w:type="dxa"/>
            <w:shd w:val="clear" w:color="auto" w:fill="DEEBF6"/>
            <w:vAlign w:val="center"/>
          </w:tcPr>
          <w:p w:rsidR="002A510D" w:rsidRDefault="00D52ADF">
            <w:pPr>
              <w:spacing w:before="60" w:after="60"/>
              <w:rPr>
                <w:rFonts w:ascii="Arial" w:eastAsia="Arial" w:hAnsi="Arial" w:cs="Arial"/>
                <w:sz w:val="20"/>
                <w:szCs w:val="20"/>
              </w:rPr>
            </w:pPr>
            <w:r>
              <w:rPr>
                <w:rFonts w:ascii="Arial" w:eastAsia="Arial" w:hAnsi="Arial" w:cs="Arial"/>
                <w:sz w:val="20"/>
                <w:szCs w:val="20"/>
              </w:rPr>
              <w:t>Country</w:t>
            </w:r>
          </w:p>
        </w:tc>
        <w:tc>
          <w:tcPr>
            <w:tcW w:w="5179" w:type="dxa"/>
            <w:vAlign w:val="center"/>
          </w:tcPr>
          <w:p w:rsidR="002A510D" w:rsidRDefault="00D52ADF">
            <w:pPr>
              <w:spacing w:before="60" w:after="60"/>
              <w:rPr>
                <w:rFonts w:ascii="Arial" w:eastAsia="Arial" w:hAnsi="Arial" w:cs="Arial"/>
                <w:i/>
                <w:sz w:val="16"/>
                <w:szCs w:val="16"/>
              </w:rPr>
            </w:pPr>
            <w:r>
              <w:rPr>
                <w:rFonts w:ascii="Arial" w:eastAsia="Arial" w:hAnsi="Arial" w:cs="Arial"/>
                <w:i/>
                <w:sz w:val="16"/>
                <w:szCs w:val="16"/>
              </w:rPr>
              <w:t>Hungary</w:t>
            </w:r>
          </w:p>
        </w:tc>
      </w:tr>
      <w:tr w:rsidR="002A510D">
        <w:trPr>
          <w:trHeight w:val="232"/>
        </w:trPr>
        <w:tc>
          <w:tcPr>
            <w:tcW w:w="3397" w:type="dxa"/>
            <w:vMerge/>
            <w:shd w:val="clear" w:color="auto" w:fill="DEEBF6"/>
          </w:tcPr>
          <w:p w:rsidR="002A510D" w:rsidRDefault="002A510D">
            <w:pPr>
              <w:widowControl w:val="0"/>
              <w:pBdr>
                <w:top w:val="nil"/>
                <w:left w:val="nil"/>
                <w:bottom w:val="nil"/>
                <w:right w:val="nil"/>
                <w:between w:val="nil"/>
              </w:pBdr>
              <w:spacing w:line="276" w:lineRule="auto"/>
              <w:rPr>
                <w:rFonts w:ascii="Arial" w:eastAsia="Arial" w:hAnsi="Arial" w:cs="Arial"/>
                <w:i/>
                <w:sz w:val="16"/>
                <w:szCs w:val="16"/>
              </w:rPr>
            </w:pPr>
          </w:p>
        </w:tc>
        <w:tc>
          <w:tcPr>
            <w:tcW w:w="1342" w:type="dxa"/>
            <w:shd w:val="clear" w:color="auto" w:fill="DEEBF6"/>
            <w:vAlign w:val="center"/>
          </w:tcPr>
          <w:p w:rsidR="002A510D" w:rsidRDefault="00D52ADF">
            <w:pPr>
              <w:spacing w:before="60" w:after="60"/>
              <w:rPr>
                <w:rFonts w:ascii="Arial" w:eastAsia="Arial" w:hAnsi="Arial" w:cs="Arial"/>
                <w:sz w:val="20"/>
                <w:szCs w:val="20"/>
              </w:rPr>
            </w:pPr>
            <w:r>
              <w:rPr>
                <w:rFonts w:ascii="Arial" w:eastAsia="Arial" w:hAnsi="Arial" w:cs="Arial"/>
                <w:sz w:val="20"/>
                <w:szCs w:val="20"/>
              </w:rPr>
              <w:t>NUTS 1</w:t>
            </w:r>
          </w:p>
        </w:tc>
        <w:tc>
          <w:tcPr>
            <w:tcW w:w="5179" w:type="dxa"/>
            <w:vAlign w:val="center"/>
          </w:tcPr>
          <w:p w:rsidR="002A510D" w:rsidRDefault="00D52ADF">
            <w:pPr>
              <w:spacing w:before="60" w:after="60"/>
              <w:rPr>
                <w:rFonts w:ascii="Arial" w:eastAsia="Arial" w:hAnsi="Arial" w:cs="Arial"/>
                <w:i/>
                <w:sz w:val="16"/>
                <w:szCs w:val="16"/>
              </w:rPr>
            </w:pPr>
            <w:r>
              <w:rPr>
                <w:rFonts w:ascii="Arial" w:eastAsia="Arial" w:hAnsi="Arial" w:cs="Arial"/>
                <w:i/>
                <w:sz w:val="16"/>
                <w:szCs w:val="16"/>
              </w:rPr>
              <w:t>CENTRAL HUNGARY</w:t>
            </w:r>
          </w:p>
        </w:tc>
      </w:tr>
      <w:tr w:rsidR="002A510D">
        <w:trPr>
          <w:trHeight w:val="232"/>
        </w:trPr>
        <w:tc>
          <w:tcPr>
            <w:tcW w:w="3397" w:type="dxa"/>
            <w:vMerge/>
            <w:shd w:val="clear" w:color="auto" w:fill="DEEBF6"/>
          </w:tcPr>
          <w:p w:rsidR="002A510D" w:rsidRDefault="002A510D">
            <w:pPr>
              <w:widowControl w:val="0"/>
              <w:pBdr>
                <w:top w:val="nil"/>
                <w:left w:val="nil"/>
                <w:bottom w:val="nil"/>
                <w:right w:val="nil"/>
                <w:between w:val="nil"/>
              </w:pBdr>
              <w:spacing w:line="276" w:lineRule="auto"/>
              <w:rPr>
                <w:rFonts w:ascii="Arial" w:eastAsia="Arial" w:hAnsi="Arial" w:cs="Arial"/>
                <w:i/>
                <w:sz w:val="16"/>
                <w:szCs w:val="16"/>
              </w:rPr>
            </w:pPr>
          </w:p>
        </w:tc>
        <w:tc>
          <w:tcPr>
            <w:tcW w:w="1342" w:type="dxa"/>
            <w:shd w:val="clear" w:color="auto" w:fill="DEEBF6"/>
            <w:vAlign w:val="center"/>
          </w:tcPr>
          <w:p w:rsidR="002A510D" w:rsidRDefault="00D52ADF">
            <w:pPr>
              <w:spacing w:before="60" w:after="60"/>
              <w:rPr>
                <w:rFonts w:ascii="Arial" w:eastAsia="Arial" w:hAnsi="Arial" w:cs="Arial"/>
                <w:sz w:val="20"/>
                <w:szCs w:val="20"/>
              </w:rPr>
            </w:pPr>
            <w:r>
              <w:rPr>
                <w:rFonts w:ascii="Arial" w:eastAsia="Arial" w:hAnsi="Arial" w:cs="Arial"/>
                <w:sz w:val="20"/>
                <w:szCs w:val="20"/>
              </w:rPr>
              <w:t>NUTS 2</w:t>
            </w:r>
          </w:p>
        </w:tc>
        <w:tc>
          <w:tcPr>
            <w:tcW w:w="5179" w:type="dxa"/>
            <w:vAlign w:val="center"/>
          </w:tcPr>
          <w:p w:rsidR="002A510D" w:rsidRDefault="00D52ADF">
            <w:pPr>
              <w:spacing w:before="60" w:after="60"/>
              <w:rPr>
                <w:rFonts w:ascii="Arial" w:eastAsia="Arial" w:hAnsi="Arial" w:cs="Arial"/>
                <w:i/>
                <w:sz w:val="16"/>
                <w:szCs w:val="16"/>
              </w:rPr>
            </w:pPr>
            <w:r>
              <w:rPr>
                <w:rFonts w:ascii="Arial" w:eastAsia="Arial" w:hAnsi="Arial" w:cs="Arial"/>
                <w:i/>
                <w:sz w:val="16"/>
                <w:szCs w:val="16"/>
              </w:rPr>
              <w:t>Central Hungary</w:t>
            </w:r>
          </w:p>
        </w:tc>
      </w:tr>
      <w:tr w:rsidR="002A510D">
        <w:trPr>
          <w:trHeight w:val="232"/>
        </w:trPr>
        <w:tc>
          <w:tcPr>
            <w:tcW w:w="3397" w:type="dxa"/>
            <w:vMerge/>
            <w:shd w:val="clear" w:color="auto" w:fill="DEEBF6"/>
          </w:tcPr>
          <w:p w:rsidR="002A510D" w:rsidRDefault="002A510D">
            <w:pPr>
              <w:widowControl w:val="0"/>
              <w:pBdr>
                <w:top w:val="nil"/>
                <w:left w:val="nil"/>
                <w:bottom w:val="nil"/>
                <w:right w:val="nil"/>
                <w:between w:val="nil"/>
              </w:pBdr>
              <w:spacing w:line="276" w:lineRule="auto"/>
              <w:rPr>
                <w:rFonts w:ascii="Arial" w:eastAsia="Arial" w:hAnsi="Arial" w:cs="Arial"/>
                <w:i/>
                <w:sz w:val="16"/>
                <w:szCs w:val="16"/>
              </w:rPr>
            </w:pPr>
          </w:p>
        </w:tc>
        <w:tc>
          <w:tcPr>
            <w:tcW w:w="1342" w:type="dxa"/>
            <w:shd w:val="clear" w:color="auto" w:fill="DEEBF6"/>
            <w:vAlign w:val="center"/>
          </w:tcPr>
          <w:p w:rsidR="002A510D" w:rsidRDefault="00D52ADF">
            <w:pPr>
              <w:spacing w:before="60" w:after="60"/>
              <w:rPr>
                <w:rFonts w:ascii="Arial" w:eastAsia="Arial" w:hAnsi="Arial" w:cs="Arial"/>
                <w:color w:val="ED7D31"/>
                <w:sz w:val="20"/>
                <w:szCs w:val="20"/>
              </w:rPr>
            </w:pPr>
            <w:r>
              <w:rPr>
                <w:rFonts w:ascii="Arial" w:eastAsia="Arial" w:hAnsi="Arial" w:cs="Arial"/>
                <w:color w:val="ED7D31"/>
                <w:sz w:val="20"/>
                <w:szCs w:val="20"/>
              </w:rPr>
              <w:t>NUTS 3</w:t>
            </w:r>
          </w:p>
        </w:tc>
        <w:tc>
          <w:tcPr>
            <w:tcW w:w="5179" w:type="dxa"/>
            <w:vAlign w:val="center"/>
          </w:tcPr>
          <w:p w:rsidR="002A510D" w:rsidRDefault="00D52ADF">
            <w:pPr>
              <w:spacing w:before="60" w:after="60"/>
              <w:rPr>
                <w:rFonts w:ascii="Arial" w:eastAsia="Arial" w:hAnsi="Arial" w:cs="Arial"/>
                <w:i/>
                <w:color w:val="ED7D31"/>
                <w:sz w:val="16"/>
                <w:szCs w:val="16"/>
              </w:rPr>
            </w:pPr>
            <w:r>
              <w:rPr>
                <w:rFonts w:ascii="Arial" w:eastAsia="Arial" w:hAnsi="Arial" w:cs="Arial"/>
                <w:i/>
                <w:color w:val="ED7D31"/>
                <w:sz w:val="16"/>
                <w:szCs w:val="16"/>
              </w:rPr>
              <w:t>Drop-down list</w:t>
            </w:r>
          </w:p>
        </w:tc>
      </w:tr>
    </w:tbl>
    <w:p w:rsidR="002A510D" w:rsidRDefault="002A510D"/>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521"/>
      </w:tblGrid>
      <w:tr w:rsidR="002A510D">
        <w:trPr>
          <w:trHeight w:val="232"/>
        </w:trPr>
        <w:tc>
          <w:tcPr>
            <w:tcW w:w="9918" w:type="dxa"/>
            <w:gridSpan w:val="2"/>
            <w:shd w:val="clear" w:color="auto" w:fill="DEEBF6"/>
            <w:vAlign w:val="center"/>
          </w:tcPr>
          <w:p w:rsidR="002A510D" w:rsidRDefault="00D52ADF">
            <w:pPr>
              <w:numPr>
                <w:ilvl w:val="0"/>
                <w:numId w:val="1"/>
              </w:num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Detailed description </w:t>
            </w:r>
          </w:p>
        </w:tc>
      </w:tr>
      <w:tr w:rsidR="002A510D">
        <w:trPr>
          <w:trHeight w:val="1408"/>
        </w:trPr>
        <w:tc>
          <w:tcPr>
            <w:tcW w:w="3397" w:type="dxa"/>
            <w:shd w:val="clear" w:color="auto" w:fill="DEEBF6"/>
          </w:tcPr>
          <w:p w:rsidR="002A510D" w:rsidRDefault="00D52ADF">
            <w:pPr>
              <w:spacing w:before="60" w:after="60"/>
              <w:rPr>
                <w:rFonts w:ascii="Arial" w:eastAsia="Arial" w:hAnsi="Arial" w:cs="Arial"/>
                <w:b/>
                <w:sz w:val="20"/>
                <w:szCs w:val="20"/>
              </w:rPr>
            </w:pPr>
            <w:r>
              <w:rPr>
                <w:rFonts w:ascii="Arial" w:eastAsia="Arial" w:hAnsi="Arial" w:cs="Arial"/>
                <w:b/>
                <w:sz w:val="20"/>
                <w:szCs w:val="20"/>
              </w:rPr>
              <w:t>Detailed information on the practice</w:t>
            </w:r>
          </w:p>
          <w:p w:rsidR="002A510D" w:rsidRDefault="002A510D">
            <w:pPr>
              <w:spacing w:before="60" w:after="60"/>
              <w:rPr>
                <w:rFonts w:ascii="Arial" w:eastAsia="Arial" w:hAnsi="Arial" w:cs="Arial"/>
                <w:b/>
                <w:sz w:val="20"/>
                <w:szCs w:val="20"/>
              </w:rPr>
            </w:pPr>
          </w:p>
        </w:tc>
        <w:tc>
          <w:tcPr>
            <w:tcW w:w="6521" w:type="dxa"/>
            <w:vAlign w:val="center"/>
          </w:tcPr>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PLEASE NOTE THAT THE GP BELOW IS SUBJECT TO COPYRIGHT. SOME INFORMATION ARE CONFIDENTIAL DUE TO THEIR NATURE OF BEING BUSINESS SECRETS OR SENSITIVE DATA PROTECTED BY LAW, THEREFORE, UNDISCLOSED BY THE COPYRIGHT PROPRIETOR (GP OWNER).</w:t>
            </w:r>
          </w:p>
          <w:p w:rsidR="002A510D" w:rsidRDefault="002A510D">
            <w:pPr>
              <w:spacing w:before="60" w:after="60"/>
              <w:jc w:val="both"/>
              <w:rPr>
                <w:rFonts w:ascii="Arial" w:eastAsia="Arial" w:hAnsi="Arial" w:cs="Arial"/>
                <w:i/>
                <w:sz w:val="20"/>
                <w:szCs w:val="20"/>
              </w:rPr>
            </w:pP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The solution offered by SCN4ALL is based on an evaluation algorithm that analyses the physiological functions of the cardiovascular and autonomic nervous systems, and has a wide range of applications in medicine: monitoring the condition of patients with hypertension, heart failure or arrhytmias, diabetes or lung disease, or monitoring the effectiveness of therapies. </w:t>
            </w:r>
          </w:p>
          <w:p w:rsidR="002A510D" w:rsidRDefault="002A510D">
            <w:pPr>
              <w:spacing w:before="60" w:after="60"/>
              <w:jc w:val="both"/>
              <w:rPr>
                <w:rFonts w:ascii="Arial" w:eastAsia="Arial" w:hAnsi="Arial" w:cs="Arial"/>
                <w:i/>
                <w:sz w:val="20"/>
                <w:szCs w:val="20"/>
              </w:rPr>
            </w:pP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The company, E-Med4All Europe Ltd., has developed a pulse oximeter-based heart rate variability and pulse wave analysis telemedicine system that can monitor more than 30 physiological parameters to track the health of asymptomatic people, monitor those in quarantine and </w:t>
            </w:r>
            <w:r>
              <w:rPr>
                <w:rFonts w:ascii="Arial" w:eastAsia="Arial" w:hAnsi="Arial" w:cs="Arial"/>
                <w:i/>
                <w:sz w:val="20"/>
                <w:szCs w:val="20"/>
              </w:rPr>
              <w:lastRenderedPageBreak/>
              <w:t xml:space="preserve">analyse the data for early detection of possible disease onset. Potential patients can be monitored using a simple and easily disinfectable device, a smart pulse oximeter, and the measured data is sent to a processing unit in the cloud via smartphone or tablet by a dedicated app. </w:t>
            </w:r>
          </w:p>
          <w:p w:rsidR="002A510D" w:rsidRDefault="002A510D">
            <w:pPr>
              <w:spacing w:before="60" w:after="60"/>
              <w:jc w:val="both"/>
              <w:rPr>
                <w:rFonts w:ascii="Arial" w:eastAsia="Arial" w:hAnsi="Arial" w:cs="Arial"/>
                <w:i/>
                <w:sz w:val="20"/>
                <w:szCs w:val="20"/>
              </w:rPr>
            </w:pP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Each measurement takes 2 minutes and can be performed by the user independently several times a day, without the need to burden healthcare staff. The measurement data can be monitored remotely, even via the internet, by the professional in charge of the elderly person's medical supervision.</w:t>
            </w:r>
          </w:p>
          <w:p w:rsidR="002A510D" w:rsidRDefault="002A510D">
            <w:pPr>
              <w:spacing w:before="60" w:after="60"/>
              <w:jc w:val="both"/>
              <w:rPr>
                <w:rFonts w:ascii="Arial" w:eastAsia="Arial" w:hAnsi="Arial" w:cs="Arial"/>
                <w:i/>
                <w:sz w:val="20"/>
                <w:szCs w:val="20"/>
              </w:rPr>
            </w:pP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Although most of the cardiovascular monitoring parameters offered by the SCN4ALL system were already known to science, their practical application, especially for the general population, was not yet solved. The innovative nature of their ICT solution stems both from the research and development work needed to put the parameters into practice and from the development of a solution to make the service available to the general public. All that is needed to access the service is an easily obtainable special pulse oximeter, a mobile device to run the application and an internet connection. A further innovative feature of the product is that it can allow the early prediction of the onset of certain diseases, in many cases anticipating the possibilities offered by traditional diagnostic methods. (Research is ongoing to prove further clinical utilities of SCN4ALL.)</w:t>
            </w:r>
          </w:p>
        </w:tc>
      </w:tr>
      <w:tr w:rsidR="002A510D">
        <w:trPr>
          <w:trHeight w:val="232"/>
        </w:trPr>
        <w:tc>
          <w:tcPr>
            <w:tcW w:w="3397" w:type="dxa"/>
            <w:shd w:val="clear" w:color="auto" w:fill="DEEBF6"/>
            <w:vAlign w:val="center"/>
          </w:tcPr>
          <w:p w:rsidR="002A510D" w:rsidRPr="00073C7B" w:rsidRDefault="00D52ADF">
            <w:pPr>
              <w:spacing w:before="60" w:after="60"/>
              <w:rPr>
                <w:rFonts w:ascii="Arial" w:eastAsia="Arial" w:hAnsi="Arial" w:cs="Arial"/>
                <w:b/>
                <w:sz w:val="20"/>
                <w:szCs w:val="20"/>
              </w:rPr>
            </w:pPr>
            <w:r w:rsidRPr="00073C7B">
              <w:rPr>
                <w:rFonts w:ascii="Arial" w:eastAsia="Arial" w:hAnsi="Arial" w:cs="Arial"/>
                <w:b/>
                <w:sz w:val="20"/>
                <w:szCs w:val="20"/>
              </w:rPr>
              <w:lastRenderedPageBreak/>
              <w:t>Resources needed</w:t>
            </w:r>
          </w:p>
        </w:tc>
        <w:tc>
          <w:tcPr>
            <w:tcW w:w="6521" w:type="dxa"/>
            <w:vAlign w:val="center"/>
          </w:tcPr>
          <w:p w:rsidR="002A510D" w:rsidRDefault="00CA1F5A">
            <w:pPr>
              <w:spacing w:before="60" w:after="60"/>
              <w:rPr>
                <w:rFonts w:ascii="Arial" w:eastAsia="Arial" w:hAnsi="Arial" w:cs="Arial"/>
                <w:i/>
                <w:sz w:val="20"/>
                <w:szCs w:val="20"/>
              </w:rPr>
            </w:pPr>
            <w:r>
              <w:rPr>
                <w:rFonts w:ascii="Arial" w:eastAsia="Arial" w:hAnsi="Arial" w:cs="Arial"/>
                <w:i/>
                <w:sz w:val="20"/>
                <w:szCs w:val="20"/>
              </w:rPr>
              <w:t>ca.</w:t>
            </w:r>
            <w:r w:rsidR="00D52ADF">
              <w:rPr>
                <w:rFonts w:ascii="Arial" w:eastAsia="Arial" w:hAnsi="Arial" w:cs="Arial"/>
                <w:i/>
                <w:sz w:val="20"/>
                <w:szCs w:val="20"/>
              </w:rPr>
              <w:t xml:space="preserve"> 1.300.000 </w:t>
            </w:r>
            <w:r w:rsidR="0065682D">
              <w:rPr>
                <w:rFonts w:ascii="Arial" w:eastAsia="Arial" w:hAnsi="Arial" w:cs="Arial"/>
                <w:i/>
                <w:sz w:val="20"/>
                <w:szCs w:val="20"/>
              </w:rPr>
              <w:t xml:space="preserve">(1,3M) </w:t>
            </w:r>
            <w:r w:rsidR="00D52ADF">
              <w:rPr>
                <w:rFonts w:ascii="Arial" w:eastAsia="Arial" w:hAnsi="Arial" w:cs="Arial"/>
                <w:i/>
                <w:sz w:val="20"/>
                <w:szCs w:val="20"/>
              </w:rPr>
              <w:t>EUR</w:t>
            </w:r>
          </w:p>
        </w:tc>
      </w:tr>
      <w:tr w:rsidR="002A510D">
        <w:trPr>
          <w:trHeight w:val="232"/>
        </w:trPr>
        <w:tc>
          <w:tcPr>
            <w:tcW w:w="3397" w:type="dxa"/>
            <w:shd w:val="clear" w:color="auto" w:fill="DEEBF6"/>
            <w:vAlign w:val="center"/>
          </w:tcPr>
          <w:p w:rsidR="002A510D" w:rsidRPr="00073C7B" w:rsidRDefault="00D52ADF">
            <w:pPr>
              <w:spacing w:before="60" w:after="60"/>
              <w:rPr>
                <w:rFonts w:ascii="Arial" w:eastAsia="Arial" w:hAnsi="Arial" w:cs="Arial"/>
                <w:b/>
                <w:sz w:val="20"/>
                <w:szCs w:val="20"/>
              </w:rPr>
            </w:pPr>
            <w:r w:rsidRPr="00073C7B">
              <w:rPr>
                <w:rFonts w:ascii="Arial" w:eastAsia="Arial" w:hAnsi="Arial" w:cs="Arial"/>
                <w:b/>
                <w:sz w:val="20"/>
                <w:szCs w:val="20"/>
              </w:rPr>
              <w:t>Timescale (start/end date)</w:t>
            </w:r>
          </w:p>
        </w:tc>
        <w:tc>
          <w:tcPr>
            <w:tcW w:w="6521" w:type="dxa"/>
            <w:vAlign w:val="center"/>
          </w:tcPr>
          <w:p w:rsidR="00CA1F5A" w:rsidRDefault="00CA1F5A" w:rsidP="00CA1F5A">
            <w:pPr>
              <w:spacing w:before="60" w:after="60"/>
              <w:jc w:val="both"/>
              <w:rPr>
                <w:rFonts w:ascii="Arial" w:eastAsia="Arial" w:hAnsi="Arial" w:cs="Arial"/>
                <w:i/>
                <w:sz w:val="20"/>
                <w:szCs w:val="20"/>
              </w:rPr>
            </w:pPr>
            <w:r>
              <w:rPr>
                <w:rFonts w:ascii="Arial" w:eastAsia="Arial" w:hAnsi="Arial" w:cs="Arial"/>
                <w:i/>
                <w:sz w:val="20"/>
                <w:szCs w:val="20"/>
              </w:rPr>
              <w:t>2017-2020</w:t>
            </w:r>
          </w:p>
          <w:p w:rsidR="002A510D" w:rsidRPr="00CA1F5A" w:rsidRDefault="00D52ADF" w:rsidP="00CA1F5A">
            <w:pPr>
              <w:spacing w:before="60" w:after="60"/>
              <w:jc w:val="both"/>
              <w:rPr>
                <w:rFonts w:ascii="Arial" w:eastAsia="Arial" w:hAnsi="Arial" w:cs="Arial"/>
                <w:i/>
                <w:sz w:val="20"/>
                <w:szCs w:val="20"/>
              </w:rPr>
            </w:pPr>
            <w:r w:rsidRPr="00CA1F5A">
              <w:rPr>
                <w:rFonts w:ascii="Arial" w:eastAsia="Arial" w:hAnsi="Arial" w:cs="Arial"/>
                <w:i/>
                <w:sz w:val="20"/>
                <w:szCs w:val="20"/>
              </w:rPr>
              <w:t>Preliminary development</w:t>
            </w:r>
            <w:r w:rsidR="00CA1F5A">
              <w:rPr>
                <w:rFonts w:ascii="Arial" w:eastAsia="Arial" w:hAnsi="Arial" w:cs="Arial"/>
                <w:i/>
                <w:sz w:val="20"/>
                <w:szCs w:val="20"/>
              </w:rPr>
              <w:t xml:space="preserve"> and prototyping started in 2017. The</w:t>
            </w:r>
            <w:r w:rsidRPr="00CA1F5A">
              <w:rPr>
                <w:rFonts w:ascii="Arial" w:eastAsia="Arial" w:hAnsi="Arial" w:cs="Arial"/>
                <w:i/>
                <w:sz w:val="20"/>
                <w:szCs w:val="20"/>
              </w:rPr>
              <w:t xml:space="preserve"> MVP </w:t>
            </w:r>
            <w:r w:rsidR="00CA1F5A">
              <w:rPr>
                <w:rFonts w:ascii="Arial" w:eastAsia="Arial" w:hAnsi="Arial" w:cs="Arial"/>
                <w:i/>
                <w:sz w:val="20"/>
                <w:szCs w:val="20"/>
              </w:rPr>
              <w:t>was released in 2018 and</w:t>
            </w:r>
            <w:r w:rsidRPr="00CA1F5A">
              <w:rPr>
                <w:rFonts w:ascii="Arial" w:eastAsia="Arial" w:hAnsi="Arial" w:cs="Arial"/>
                <w:i/>
                <w:sz w:val="20"/>
                <w:szCs w:val="20"/>
              </w:rPr>
              <w:t xml:space="preserve"> </w:t>
            </w:r>
            <w:r w:rsidR="00CA1F5A">
              <w:rPr>
                <w:rFonts w:ascii="Arial" w:eastAsia="Arial" w:hAnsi="Arial" w:cs="Arial"/>
                <w:i/>
                <w:sz w:val="20"/>
                <w:szCs w:val="20"/>
              </w:rPr>
              <w:t xml:space="preserve">the </w:t>
            </w:r>
            <w:r w:rsidRPr="00CA1F5A">
              <w:rPr>
                <w:rFonts w:ascii="Arial" w:eastAsia="Arial" w:hAnsi="Arial" w:cs="Arial"/>
                <w:i/>
                <w:sz w:val="20"/>
                <w:szCs w:val="20"/>
              </w:rPr>
              <w:t>prod</w:t>
            </w:r>
            <w:r w:rsidR="00CA1F5A">
              <w:rPr>
                <w:rFonts w:ascii="Arial" w:eastAsia="Arial" w:hAnsi="Arial" w:cs="Arial"/>
                <w:i/>
                <w:sz w:val="20"/>
                <w:szCs w:val="20"/>
              </w:rPr>
              <w:t>uct version used in the project in</w:t>
            </w:r>
            <w:r w:rsidRPr="00CA1F5A">
              <w:rPr>
                <w:rFonts w:ascii="Arial" w:eastAsia="Arial" w:hAnsi="Arial" w:cs="Arial"/>
                <w:i/>
                <w:sz w:val="20"/>
                <w:szCs w:val="20"/>
              </w:rPr>
              <w:t xml:space="preserve"> 2020</w:t>
            </w:r>
            <w:r w:rsidR="00CA1F5A">
              <w:rPr>
                <w:rFonts w:ascii="Arial" w:eastAsia="Arial" w:hAnsi="Arial" w:cs="Arial"/>
                <w:i/>
                <w:sz w:val="20"/>
                <w:szCs w:val="20"/>
              </w:rPr>
              <w:t>.</w:t>
            </w:r>
          </w:p>
        </w:tc>
      </w:tr>
      <w:tr w:rsidR="002A510D">
        <w:trPr>
          <w:trHeight w:val="232"/>
        </w:trPr>
        <w:tc>
          <w:tcPr>
            <w:tcW w:w="3397" w:type="dxa"/>
            <w:shd w:val="clear" w:color="auto" w:fill="DEEBF6"/>
            <w:vAlign w:val="center"/>
          </w:tcPr>
          <w:p w:rsidR="002A510D" w:rsidRDefault="00D52ADF">
            <w:pPr>
              <w:spacing w:before="60" w:after="60"/>
              <w:rPr>
                <w:rFonts w:ascii="Arial" w:eastAsia="Arial" w:hAnsi="Arial" w:cs="Arial"/>
                <w:b/>
                <w:sz w:val="20"/>
                <w:szCs w:val="20"/>
                <w:highlight w:val="yellow"/>
              </w:rPr>
            </w:pPr>
            <w:r w:rsidRPr="00073C7B">
              <w:rPr>
                <w:rFonts w:ascii="Arial" w:eastAsia="Arial" w:hAnsi="Arial" w:cs="Arial"/>
                <w:b/>
                <w:sz w:val="20"/>
                <w:szCs w:val="20"/>
              </w:rPr>
              <w:t>Evidence of success (results achieved)</w:t>
            </w:r>
          </w:p>
        </w:tc>
        <w:tc>
          <w:tcPr>
            <w:tcW w:w="6521" w:type="dxa"/>
            <w:vAlign w:val="center"/>
          </w:tcPr>
          <w:p w:rsidR="002A510D" w:rsidRDefault="00CA1F5A">
            <w:pPr>
              <w:numPr>
                <w:ilvl w:val="0"/>
                <w:numId w:val="3"/>
              </w:numPr>
              <w:pBdr>
                <w:top w:val="nil"/>
                <w:left w:val="nil"/>
                <w:bottom w:val="nil"/>
                <w:right w:val="nil"/>
                <w:between w:val="nil"/>
              </w:pBdr>
              <w:spacing w:before="60"/>
              <w:jc w:val="both"/>
              <w:rPr>
                <w:rFonts w:ascii="Arial" w:eastAsia="Arial" w:hAnsi="Arial" w:cs="Arial"/>
                <w:i/>
                <w:color w:val="000000"/>
                <w:sz w:val="20"/>
                <w:szCs w:val="20"/>
              </w:rPr>
            </w:pPr>
            <w:r>
              <w:rPr>
                <w:rFonts w:ascii="Arial" w:eastAsia="Arial" w:hAnsi="Arial" w:cs="Arial"/>
                <w:i/>
                <w:color w:val="000000"/>
                <w:sz w:val="20"/>
                <w:szCs w:val="20"/>
              </w:rPr>
              <w:t>Currently, the GP owner’s</w:t>
            </w:r>
            <w:r w:rsidR="00D52ADF">
              <w:rPr>
                <w:rFonts w:ascii="Arial" w:eastAsia="Arial" w:hAnsi="Arial" w:cs="Arial"/>
                <w:i/>
                <w:color w:val="000000"/>
                <w:sz w:val="20"/>
                <w:szCs w:val="20"/>
              </w:rPr>
              <w:t xml:space="preserve"> pulsewave database contains ~100.000 pulsewave registration</w:t>
            </w:r>
            <w:r>
              <w:rPr>
                <w:rFonts w:ascii="Arial" w:eastAsia="Arial" w:hAnsi="Arial" w:cs="Arial"/>
                <w:i/>
                <w:color w:val="000000"/>
                <w:sz w:val="20"/>
                <w:szCs w:val="20"/>
              </w:rPr>
              <w:t>s of</w:t>
            </w:r>
            <w:r w:rsidR="00D52ADF">
              <w:rPr>
                <w:rFonts w:ascii="Arial" w:eastAsia="Arial" w:hAnsi="Arial" w:cs="Arial"/>
                <w:i/>
                <w:color w:val="000000"/>
                <w:sz w:val="20"/>
                <w:szCs w:val="20"/>
              </w:rPr>
              <w:t xml:space="preserve"> </w:t>
            </w:r>
            <w:r>
              <w:rPr>
                <w:rFonts w:ascii="Arial" w:eastAsia="Arial" w:hAnsi="Arial" w:cs="Arial"/>
                <w:i/>
                <w:color w:val="000000"/>
                <w:sz w:val="20"/>
                <w:szCs w:val="20"/>
              </w:rPr>
              <w:t>ca.</w:t>
            </w:r>
            <w:r w:rsidR="00D52ADF">
              <w:rPr>
                <w:rFonts w:ascii="Arial" w:eastAsia="Arial" w:hAnsi="Arial" w:cs="Arial"/>
                <w:i/>
                <w:color w:val="000000"/>
                <w:sz w:val="20"/>
                <w:szCs w:val="20"/>
              </w:rPr>
              <w:t>5.000 patients (</w:t>
            </w:r>
            <w:r>
              <w:rPr>
                <w:rFonts w:ascii="Arial" w:eastAsia="Arial" w:hAnsi="Arial" w:cs="Arial"/>
                <w:i/>
                <w:color w:val="000000"/>
                <w:sz w:val="20"/>
                <w:szCs w:val="20"/>
              </w:rPr>
              <w:t xml:space="preserve">N:B.: </w:t>
            </w:r>
            <w:r w:rsidR="00D52ADF">
              <w:rPr>
                <w:rFonts w:ascii="Arial" w:eastAsia="Arial" w:hAnsi="Arial" w:cs="Arial"/>
                <w:i/>
                <w:color w:val="000000"/>
                <w:sz w:val="20"/>
                <w:szCs w:val="20"/>
              </w:rPr>
              <w:t xml:space="preserve">not all </w:t>
            </w:r>
            <w:r>
              <w:rPr>
                <w:rFonts w:ascii="Arial" w:eastAsia="Arial" w:hAnsi="Arial" w:cs="Arial"/>
                <w:i/>
                <w:color w:val="000000"/>
                <w:sz w:val="20"/>
                <w:szCs w:val="20"/>
              </w:rPr>
              <w:t>user</w:t>
            </w:r>
            <w:bookmarkStart w:id="0" w:name="_GoBack"/>
            <w:bookmarkEnd w:id="0"/>
            <w:r>
              <w:rPr>
                <w:rFonts w:ascii="Arial" w:eastAsia="Arial" w:hAnsi="Arial" w:cs="Arial"/>
                <w:i/>
                <w:color w:val="000000"/>
                <w:sz w:val="20"/>
                <w:szCs w:val="20"/>
              </w:rPr>
              <w:t>s registered</w:t>
            </w:r>
            <w:r w:rsidR="00D52ADF">
              <w:rPr>
                <w:rFonts w:ascii="Arial" w:eastAsia="Arial" w:hAnsi="Arial" w:cs="Arial"/>
                <w:i/>
                <w:color w:val="000000"/>
                <w:sz w:val="20"/>
                <w:szCs w:val="20"/>
              </w:rPr>
              <w:t>)</w:t>
            </w:r>
            <w:r>
              <w:rPr>
                <w:rFonts w:ascii="Arial" w:eastAsia="Arial" w:hAnsi="Arial" w:cs="Arial"/>
                <w:i/>
                <w:color w:val="000000"/>
                <w:sz w:val="20"/>
                <w:szCs w:val="20"/>
              </w:rPr>
              <w:t>.</w:t>
            </w:r>
          </w:p>
          <w:p w:rsidR="002A510D" w:rsidRDefault="00D52ADF">
            <w:pPr>
              <w:numPr>
                <w:ilvl w:val="0"/>
                <w:numId w:val="3"/>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Dur</w:t>
            </w:r>
            <w:r w:rsidR="00CA1F5A">
              <w:rPr>
                <w:rFonts w:ascii="Arial" w:eastAsia="Arial" w:hAnsi="Arial" w:cs="Arial"/>
                <w:i/>
                <w:color w:val="000000"/>
                <w:sz w:val="20"/>
                <w:szCs w:val="20"/>
              </w:rPr>
              <w:t xml:space="preserve">ing the pandemic, the </w:t>
            </w:r>
            <w:r>
              <w:rPr>
                <w:rFonts w:ascii="Arial" w:eastAsia="Arial" w:hAnsi="Arial" w:cs="Arial"/>
                <w:i/>
                <w:color w:val="000000"/>
                <w:sz w:val="20"/>
                <w:szCs w:val="20"/>
              </w:rPr>
              <w:t xml:space="preserve">COVID-19 </w:t>
            </w:r>
            <w:r w:rsidR="00CA1F5A">
              <w:rPr>
                <w:rFonts w:ascii="Arial" w:eastAsia="Arial" w:hAnsi="Arial" w:cs="Arial"/>
                <w:i/>
                <w:color w:val="000000"/>
                <w:sz w:val="20"/>
                <w:szCs w:val="20"/>
              </w:rPr>
              <w:t>National Task Froce</w:t>
            </w:r>
            <w:r>
              <w:rPr>
                <w:rFonts w:ascii="Arial" w:eastAsia="Arial" w:hAnsi="Arial" w:cs="Arial"/>
                <w:i/>
                <w:color w:val="000000"/>
                <w:sz w:val="20"/>
                <w:szCs w:val="20"/>
              </w:rPr>
              <w:t xml:space="preserve"> approved a pilot project</w:t>
            </w:r>
            <w:r w:rsidR="00CA1F5A">
              <w:rPr>
                <w:rFonts w:ascii="Arial" w:eastAsia="Arial" w:hAnsi="Arial" w:cs="Arial"/>
                <w:i/>
                <w:color w:val="000000"/>
                <w:sz w:val="20"/>
                <w:szCs w:val="20"/>
              </w:rPr>
              <w:t>, in which</w:t>
            </w:r>
            <w:r>
              <w:rPr>
                <w:rFonts w:ascii="Arial" w:eastAsia="Arial" w:hAnsi="Arial" w:cs="Arial"/>
                <w:i/>
                <w:color w:val="000000"/>
                <w:sz w:val="20"/>
                <w:szCs w:val="20"/>
              </w:rPr>
              <w:t xml:space="preserve"> 200 SCN4ALL smart pulse</w:t>
            </w:r>
            <w:r w:rsidR="00CA1F5A">
              <w:rPr>
                <w:rFonts w:ascii="Arial" w:eastAsia="Arial" w:hAnsi="Arial" w:cs="Arial"/>
                <w:i/>
                <w:color w:val="000000"/>
                <w:sz w:val="20"/>
                <w:szCs w:val="20"/>
              </w:rPr>
              <w:t xml:space="preserve"> </w:t>
            </w:r>
            <w:r>
              <w:rPr>
                <w:rFonts w:ascii="Arial" w:eastAsia="Arial" w:hAnsi="Arial" w:cs="Arial"/>
                <w:i/>
                <w:color w:val="000000"/>
                <w:sz w:val="20"/>
                <w:szCs w:val="20"/>
              </w:rPr>
              <w:t xml:space="preserve">oximeters were distributed amongst 40 </w:t>
            </w:r>
            <w:r w:rsidR="00CA1F5A">
              <w:rPr>
                <w:rFonts w:ascii="Arial" w:eastAsia="Arial" w:hAnsi="Arial" w:cs="Arial"/>
                <w:i/>
                <w:color w:val="000000"/>
                <w:sz w:val="20"/>
                <w:szCs w:val="20"/>
              </w:rPr>
              <w:t>general practitioners</w:t>
            </w:r>
            <w:r>
              <w:rPr>
                <w:rFonts w:ascii="Arial" w:eastAsia="Arial" w:hAnsi="Arial" w:cs="Arial"/>
                <w:i/>
                <w:color w:val="000000"/>
                <w:sz w:val="20"/>
                <w:szCs w:val="20"/>
              </w:rPr>
              <w:t xml:space="preserve"> to remotely monitor high risk COVID-19 patients </w:t>
            </w:r>
            <w:r w:rsidR="00CA1F5A">
              <w:rPr>
                <w:rFonts w:ascii="Arial" w:eastAsia="Arial" w:hAnsi="Arial" w:cs="Arial"/>
                <w:i/>
                <w:color w:val="000000"/>
                <w:sz w:val="20"/>
                <w:szCs w:val="20"/>
              </w:rPr>
              <w:t>(a success to  save a great many lives according to the participating</w:t>
            </w:r>
            <w:r>
              <w:rPr>
                <w:rFonts w:ascii="Arial" w:eastAsia="Arial" w:hAnsi="Arial" w:cs="Arial"/>
                <w:i/>
                <w:color w:val="000000"/>
                <w:sz w:val="20"/>
                <w:szCs w:val="20"/>
              </w:rPr>
              <w:t xml:space="preserve"> doctors</w:t>
            </w:r>
            <w:r w:rsidR="00CA1F5A">
              <w:rPr>
                <w:rFonts w:ascii="Arial" w:eastAsia="Arial" w:hAnsi="Arial" w:cs="Arial"/>
                <w:i/>
                <w:color w:val="000000"/>
                <w:sz w:val="20"/>
                <w:szCs w:val="20"/>
              </w:rPr>
              <w:t>)</w:t>
            </w:r>
            <w:r>
              <w:rPr>
                <w:rFonts w:ascii="Arial" w:eastAsia="Arial" w:hAnsi="Arial" w:cs="Arial"/>
                <w:i/>
                <w:color w:val="000000"/>
                <w:sz w:val="20"/>
                <w:szCs w:val="20"/>
              </w:rPr>
              <w:t>. (</w:t>
            </w:r>
            <w:hyperlink r:id="rId8">
              <w:r>
                <w:rPr>
                  <w:rFonts w:ascii="Arial" w:eastAsia="Arial" w:hAnsi="Arial" w:cs="Arial"/>
                  <w:i/>
                  <w:color w:val="0563C1"/>
                  <w:sz w:val="20"/>
                  <w:szCs w:val="20"/>
                  <w:u w:val="single"/>
                </w:rPr>
                <w:t>http://medicalonline.hu/gyogyitas/cikk/covid_19_beteg_arterias_funkcioinak_valtozasai_fotopletizmografia_alapu_pulzushullam_analizis_alapjan</w:t>
              </w:r>
            </w:hyperlink>
            <w:r>
              <w:rPr>
                <w:rFonts w:ascii="Arial" w:eastAsia="Arial" w:hAnsi="Arial" w:cs="Arial"/>
                <w:i/>
                <w:color w:val="000000"/>
                <w:sz w:val="20"/>
                <w:szCs w:val="20"/>
              </w:rPr>
              <w:t xml:space="preserve">, </w:t>
            </w:r>
            <w:hyperlink r:id="rId9">
              <w:r>
                <w:rPr>
                  <w:rFonts w:ascii="Arial" w:eastAsia="Arial" w:hAnsi="Arial" w:cs="Arial"/>
                  <w:i/>
                  <w:color w:val="0563C1"/>
                  <w:sz w:val="20"/>
                  <w:szCs w:val="20"/>
                  <w:u w:val="single"/>
                </w:rPr>
                <w:t>https://24.hu/belfold/2020/12/14/pulzoximeter-haziorvos-megfigyeles-karanten/</w:t>
              </w:r>
            </w:hyperlink>
            <w:r>
              <w:rPr>
                <w:rFonts w:ascii="Arial" w:eastAsia="Arial" w:hAnsi="Arial" w:cs="Arial"/>
                <w:i/>
                <w:color w:val="000000"/>
                <w:sz w:val="20"/>
                <w:szCs w:val="20"/>
              </w:rPr>
              <w:t xml:space="preserve"> )</w:t>
            </w:r>
          </w:p>
          <w:p w:rsidR="002A510D" w:rsidRDefault="00D52ADF">
            <w:pPr>
              <w:numPr>
                <w:ilvl w:val="0"/>
                <w:numId w:val="3"/>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Consecutive projects with Hungarian</w:t>
            </w:r>
            <w:r w:rsidR="008930F0">
              <w:rPr>
                <w:rFonts w:ascii="Arial" w:eastAsia="Arial" w:hAnsi="Arial" w:cs="Arial"/>
                <w:i/>
                <w:color w:val="000000"/>
                <w:sz w:val="20"/>
                <w:szCs w:val="20"/>
              </w:rPr>
              <w:t xml:space="preserve"> primary care nurses (</w:t>
            </w:r>
            <w:r>
              <w:rPr>
                <w:rFonts w:ascii="Arial" w:eastAsia="Arial" w:hAnsi="Arial" w:cs="Arial"/>
                <w:i/>
                <w:color w:val="000000"/>
                <w:sz w:val="20"/>
                <w:szCs w:val="20"/>
              </w:rPr>
              <w:t xml:space="preserve">primary pregnancy </w:t>
            </w:r>
            <w:r w:rsidR="008930F0">
              <w:rPr>
                <w:rFonts w:ascii="Arial" w:eastAsia="Arial" w:hAnsi="Arial" w:cs="Arial"/>
                <w:i/>
                <w:color w:val="000000"/>
                <w:sz w:val="20"/>
                <w:szCs w:val="20"/>
              </w:rPr>
              <w:t xml:space="preserve">and perinatal </w:t>
            </w:r>
            <w:r>
              <w:rPr>
                <w:rFonts w:ascii="Arial" w:eastAsia="Arial" w:hAnsi="Arial" w:cs="Arial"/>
                <w:i/>
                <w:color w:val="000000"/>
                <w:sz w:val="20"/>
                <w:szCs w:val="20"/>
              </w:rPr>
              <w:t>care) since 2019, where</w:t>
            </w:r>
            <w:r w:rsidR="008930F0">
              <w:rPr>
                <w:rFonts w:ascii="Arial" w:eastAsia="Arial" w:hAnsi="Arial" w:cs="Arial"/>
                <w:i/>
                <w:color w:val="000000"/>
                <w:sz w:val="20"/>
                <w:szCs w:val="20"/>
              </w:rPr>
              <w:t>by</w:t>
            </w:r>
            <w:r>
              <w:rPr>
                <w:rFonts w:ascii="Arial" w:eastAsia="Arial" w:hAnsi="Arial" w:cs="Arial"/>
                <w:i/>
                <w:color w:val="000000"/>
                <w:sz w:val="20"/>
                <w:szCs w:val="20"/>
              </w:rPr>
              <w:t xml:space="preserve"> more than 50 nurses used already the system, recorded around 10.000 measurements. Results were demonstrated at the Conference on the Future of Europe series (</w:t>
            </w:r>
            <w:hyperlink r:id="rId10">
              <w:r>
                <w:rPr>
                  <w:rFonts w:ascii="Arial" w:eastAsia="Arial" w:hAnsi="Arial" w:cs="Arial"/>
                  <w:i/>
                  <w:color w:val="0563C1"/>
                  <w:sz w:val="20"/>
                  <w:szCs w:val="20"/>
                  <w:u w:val="single"/>
                </w:rPr>
                <w:t>https://futureu.europa.eu/processes/Health/f/4/meetings/128273?locale=en</w:t>
              </w:r>
            </w:hyperlink>
            <w:r>
              <w:rPr>
                <w:rFonts w:ascii="Arial" w:eastAsia="Arial" w:hAnsi="Arial" w:cs="Arial"/>
                <w:i/>
                <w:color w:val="000000"/>
                <w:sz w:val="20"/>
                <w:szCs w:val="20"/>
              </w:rPr>
              <w:t>)</w:t>
            </w:r>
          </w:p>
          <w:p w:rsidR="002A510D" w:rsidRPr="008930F0" w:rsidRDefault="008930F0">
            <w:pPr>
              <w:numPr>
                <w:ilvl w:val="0"/>
                <w:numId w:val="3"/>
              </w:numPr>
              <w:pBdr>
                <w:top w:val="nil"/>
                <w:left w:val="nil"/>
                <w:bottom w:val="nil"/>
                <w:right w:val="nil"/>
                <w:between w:val="nil"/>
              </w:pBdr>
              <w:jc w:val="both"/>
              <w:rPr>
                <w:rFonts w:ascii="Arial" w:hAnsi="Arial" w:cs="Arial"/>
                <w:color w:val="000000"/>
                <w:sz w:val="20"/>
                <w:szCs w:val="20"/>
              </w:rPr>
            </w:pPr>
            <w:r w:rsidRPr="008930F0">
              <w:rPr>
                <w:rFonts w:ascii="Arial" w:eastAsia="Arial" w:hAnsi="Arial" w:cs="Arial"/>
                <w:i/>
                <w:color w:val="000000"/>
                <w:sz w:val="20"/>
                <w:szCs w:val="20"/>
              </w:rPr>
              <w:t xml:space="preserve">First </w:t>
            </w:r>
            <w:r w:rsidR="00D52ADF" w:rsidRPr="008930F0">
              <w:rPr>
                <w:rFonts w:ascii="Arial" w:eastAsia="Arial" w:hAnsi="Arial" w:cs="Arial"/>
                <w:i/>
                <w:color w:val="000000"/>
                <w:sz w:val="20"/>
                <w:szCs w:val="20"/>
              </w:rPr>
              <w:t xml:space="preserve">peer-reviewed article: </w:t>
            </w:r>
            <w:r w:rsidR="00D52ADF" w:rsidRPr="008930F0">
              <w:rPr>
                <w:rFonts w:ascii="Arial" w:hAnsi="Arial" w:cs="Arial"/>
                <w:i/>
                <w:color w:val="000000"/>
                <w:sz w:val="20"/>
                <w:szCs w:val="20"/>
              </w:rPr>
              <w:t>Kulin, D.; Antali, F.; Kulin, S.; Wafa, D.; Lucz, K.I.; Veres, D.S.; Miklós, Z. Preclinical, Multi-Aspect Assessment of the Reliability of a Photoplethysmography-Based Telemonitoring System to Track Cardiovascular Status. Appl. Sci. 2020, 10, 7977.</w:t>
            </w:r>
            <w:r w:rsidR="00D52ADF" w:rsidRPr="008930F0">
              <w:rPr>
                <w:rFonts w:ascii="Arial" w:hAnsi="Arial" w:cs="Arial"/>
                <w:color w:val="000000"/>
                <w:sz w:val="20"/>
                <w:szCs w:val="20"/>
              </w:rPr>
              <w:t xml:space="preserve"> </w:t>
            </w:r>
            <w:hyperlink r:id="rId11">
              <w:r w:rsidR="00D52ADF" w:rsidRPr="008930F0">
                <w:rPr>
                  <w:rFonts w:ascii="Arial" w:hAnsi="Arial" w:cs="Arial"/>
                  <w:i/>
                  <w:color w:val="2E74B5" w:themeColor="accent1" w:themeShade="BF"/>
                  <w:sz w:val="20"/>
                  <w:szCs w:val="20"/>
                  <w:u w:val="single"/>
                </w:rPr>
                <w:t>https://doi.org/10.3390/app10227977</w:t>
              </w:r>
            </w:hyperlink>
            <w:r w:rsidRPr="008930F0">
              <w:rPr>
                <w:rFonts w:ascii="Arial" w:hAnsi="Arial" w:cs="Arial"/>
                <w:color w:val="2E74B5" w:themeColor="accent1" w:themeShade="BF"/>
                <w:sz w:val="20"/>
                <w:szCs w:val="20"/>
                <w:u w:val="single"/>
              </w:rPr>
              <w:t xml:space="preserve"> </w:t>
            </w:r>
          </w:p>
          <w:p w:rsidR="002A510D" w:rsidRPr="008930F0" w:rsidRDefault="00D52ADF" w:rsidP="008930F0">
            <w:pPr>
              <w:numPr>
                <w:ilvl w:val="0"/>
                <w:numId w:val="3"/>
              </w:numPr>
              <w:pBdr>
                <w:top w:val="nil"/>
                <w:left w:val="nil"/>
                <w:bottom w:val="nil"/>
                <w:right w:val="nil"/>
                <w:between w:val="nil"/>
              </w:pBdr>
              <w:jc w:val="both"/>
              <w:rPr>
                <w:rFonts w:ascii="Arial" w:hAnsi="Arial" w:cs="Arial"/>
                <w:i/>
                <w:sz w:val="20"/>
                <w:szCs w:val="20"/>
              </w:rPr>
            </w:pPr>
            <w:r w:rsidRPr="008930F0">
              <w:rPr>
                <w:rFonts w:ascii="Arial" w:hAnsi="Arial" w:cs="Arial"/>
                <w:i/>
                <w:color w:val="000000"/>
                <w:sz w:val="20"/>
                <w:szCs w:val="20"/>
              </w:rPr>
              <w:lastRenderedPageBreak/>
              <w:t xml:space="preserve">Multimodal Assessment of the Pulse Rate Variability Analysis Module of a Photoplethysmography-Based Telemedicine System. Antali, F.; Kulin, D.; Lucz, K.I.; Szabó, B.; Szűcs, L.; Kulin, S.; Miklós, Z. Appl. Sci. Sensors 2021, 21, 5544. </w:t>
            </w:r>
            <w:hyperlink r:id="rId12">
              <w:r w:rsidRPr="008930F0">
                <w:rPr>
                  <w:rFonts w:ascii="Arial" w:hAnsi="Arial" w:cs="Arial"/>
                  <w:i/>
                  <w:color w:val="1155CC"/>
                  <w:sz w:val="20"/>
                  <w:szCs w:val="20"/>
                  <w:u w:val="single"/>
                </w:rPr>
                <w:t>https://doi.org/10.3390/s21165544</w:t>
              </w:r>
            </w:hyperlink>
          </w:p>
        </w:tc>
      </w:tr>
      <w:tr w:rsidR="002A510D">
        <w:trPr>
          <w:trHeight w:val="232"/>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color w:val="ED7D31"/>
                <w:sz w:val="20"/>
                <w:szCs w:val="20"/>
              </w:rPr>
              <w:lastRenderedPageBreak/>
              <w:t>Difficulties encountered/ lessons learned</w:t>
            </w:r>
          </w:p>
        </w:tc>
        <w:tc>
          <w:tcPr>
            <w:tcW w:w="6521" w:type="dxa"/>
            <w:vAlign w:val="center"/>
          </w:tcPr>
          <w:p w:rsidR="002A510D" w:rsidRDefault="00D52ADF">
            <w:pPr>
              <w:spacing w:before="60" w:after="60"/>
              <w:jc w:val="both"/>
              <w:rPr>
                <w:rFonts w:ascii="Arial" w:eastAsia="Arial" w:hAnsi="Arial" w:cs="Arial"/>
                <w:i/>
                <w:color w:val="ED7D31"/>
                <w:sz w:val="16"/>
                <w:szCs w:val="16"/>
              </w:rPr>
            </w:pPr>
            <w:r>
              <w:rPr>
                <w:rFonts w:ascii="Arial" w:eastAsia="Arial" w:hAnsi="Arial" w:cs="Arial"/>
                <w:i/>
                <w:sz w:val="20"/>
                <w:szCs w:val="20"/>
              </w:rPr>
              <w:t xml:space="preserve">GP owner did not reveal this information. Mainly for the reason that disclosure would involve medical, technological and medical engineering data. </w:t>
            </w:r>
          </w:p>
        </w:tc>
      </w:tr>
      <w:tr w:rsidR="002A510D">
        <w:trPr>
          <w:trHeight w:val="232"/>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Potential for learning or transfer</w:t>
            </w:r>
          </w:p>
        </w:tc>
        <w:tc>
          <w:tcPr>
            <w:tcW w:w="6521" w:type="dxa"/>
            <w:vAlign w:val="center"/>
          </w:tcPr>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In its current state, the system can measure conventional parameters such as:</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Heart rate: this is the average of the heart rate recorded during the measurement;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SpO2 = arterial blood oxygen saturation.</w:t>
            </w:r>
          </w:p>
          <w:p w:rsidR="002A510D" w:rsidRDefault="002A510D">
            <w:pPr>
              <w:spacing w:before="60" w:after="60"/>
              <w:jc w:val="both"/>
              <w:rPr>
                <w:rFonts w:ascii="Arial" w:eastAsia="Arial" w:hAnsi="Arial" w:cs="Arial"/>
                <w:i/>
                <w:sz w:val="20"/>
                <w:szCs w:val="20"/>
              </w:rPr>
            </w:pPr>
          </w:p>
          <w:p w:rsidR="002A510D" w:rsidRDefault="00D52ADF">
            <w:pPr>
              <w:spacing w:before="60" w:after="60"/>
              <w:jc w:val="both"/>
              <w:rPr>
                <w:rFonts w:ascii="Arial" w:eastAsia="Arial" w:hAnsi="Arial" w:cs="Arial"/>
                <w:b/>
                <w:i/>
                <w:sz w:val="20"/>
                <w:szCs w:val="20"/>
              </w:rPr>
            </w:pPr>
            <w:r>
              <w:rPr>
                <w:rFonts w:ascii="Arial" w:eastAsia="Arial" w:hAnsi="Arial" w:cs="Arial"/>
                <w:i/>
                <w:sz w:val="20"/>
                <w:szCs w:val="20"/>
              </w:rPr>
              <w:t xml:space="preserve">In addition, </w:t>
            </w:r>
            <w:r>
              <w:rPr>
                <w:rFonts w:ascii="Arial" w:eastAsia="Arial" w:hAnsi="Arial" w:cs="Arial"/>
                <w:b/>
                <w:i/>
                <w:sz w:val="20"/>
                <w:szCs w:val="20"/>
              </w:rPr>
              <w:t>it is also capable of measuring so-called pulse wave parameters</w:t>
            </w:r>
            <w:r>
              <w:rPr>
                <w:rFonts w:ascii="Arial" w:eastAsia="Arial" w:hAnsi="Arial" w:cs="Arial"/>
                <w:i/>
                <w:sz w:val="20"/>
                <w:szCs w:val="20"/>
              </w:rPr>
              <w:t xml:space="preserve">, which is a </w:t>
            </w:r>
            <w:r>
              <w:rPr>
                <w:rFonts w:ascii="Arial" w:eastAsia="Arial" w:hAnsi="Arial" w:cs="Arial"/>
                <w:b/>
                <w:i/>
                <w:sz w:val="20"/>
                <w:szCs w:val="20"/>
              </w:rPr>
              <w:t>technological upgrade</w:t>
            </w:r>
            <w:r>
              <w:rPr>
                <w:rFonts w:ascii="Arial" w:eastAsia="Arial" w:hAnsi="Arial" w:cs="Arial"/>
                <w:i/>
                <w:sz w:val="20"/>
                <w:szCs w:val="20"/>
              </w:rPr>
              <w:t xml:space="preserve"> </w:t>
            </w:r>
            <w:r>
              <w:rPr>
                <w:rFonts w:ascii="Arial" w:eastAsia="Arial" w:hAnsi="Arial" w:cs="Arial"/>
                <w:b/>
                <w:i/>
                <w:sz w:val="20"/>
                <w:szCs w:val="20"/>
              </w:rPr>
              <w:t>compared to the conventional pulse oximeter:</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Stiffness index = stiffness index of large vessels: the larger our aorta and the wall tension of our large vessels, the higher stiffness index values we can obtain;</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Small vessel tone: the ratio of the systolic (during heart contraction) to the diastolic (during aortic pulsation) peaks of the pulse wave.</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Cardiac ejection time related parameters</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Arterial ageing related parameters</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Left ventricular ejection dynamics related parameters</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Aortic distensibility related parameters</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Heart rate variability parameters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Arrhythmic pulse related parameters</w:t>
            </w:r>
          </w:p>
          <w:p w:rsidR="002A510D" w:rsidRDefault="002A510D">
            <w:pPr>
              <w:spacing w:before="60" w:after="60"/>
              <w:jc w:val="both"/>
              <w:rPr>
                <w:rFonts w:ascii="Arial" w:eastAsia="Arial" w:hAnsi="Arial" w:cs="Arial"/>
                <w:i/>
                <w:sz w:val="20"/>
                <w:szCs w:val="20"/>
              </w:rPr>
            </w:pPr>
          </w:p>
          <w:p w:rsidR="002A510D" w:rsidRDefault="002A510D">
            <w:pPr>
              <w:spacing w:before="60" w:after="60"/>
              <w:jc w:val="both"/>
              <w:rPr>
                <w:rFonts w:ascii="Arial" w:eastAsia="Arial" w:hAnsi="Arial" w:cs="Arial"/>
                <w:i/>
                <w:sz w:val="20"/>
                <w:szCs w:val="20"/>
              </w:rPr>
            </w:pP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Further to the non-conventional parameters that the device can measure, it: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is easy to use;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does not cause pain;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operates with the shortest possible measurement time;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has increased functionality and information from one measurement; </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provides continuous monitoring;</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b/>
                <w:i/>
                <w:sz w:val="20"/>
                <w:szCs w:val="20"/>
              </w:rPr>
              <w:t>tracks trends of change in the body;</w:t>
            </w:r>
          </w:p>
          <w:p w:rsidR="002A510D" w:rsidRDefault="00D52ADF">
            <w:pPr>
              <w:spacing w:before="60" w:after="60"/>
              <w:jc w:val="both"/>
              <w:rPr>
                <w:rFonts w:ascii="Arial" w:eastAsia="Arial" w:hAnsi="Arial" w:cs="Arial"/>
                <w:b/>
                <w:i/>
                <w:sz w:val="20"/>
                <w:szCs w:val="20"/>
              </w:rPr>
            </w:pPr>
            <w:r>
              <w:rPr>
                <w:rFonts w:ascii="Arial" w:eastAsia="Arial" w:hAnsi="Arial" w:cs="Arial"/>
                <w:i/>
                <w:sz w:val="20"/>
                <w:szCs w:val="20"/>
              </w:rPr>
              <w:t xml:space="preserve">• has the potential to </w:t>
            </w:r>
            <w:r>
              <w:rPr>
                <w:rFonts w:ascii="Arial" w:eastAsia="Arial" w:hAnsi="Arial" w:cs="Arial"/>
                <w:b/>
                <w:i/>
                <w:sz w:val="20"/>
                <w:szCs w:val="20"/>
              </w:rPr>
              <w:t>help to prevent serious cases* (e.g. heart attack, stroke and other major CVDs) by being suitable for functioning as an early warning mechanism – *under validation</w:t>
            </w:r>
          </w:p>
          <w:p w:rsidR="002A510D" w:rsidRDefault="00D52ADF">
            <w:pPr>
              <w:spacing w:before="60" w:after="60"/>
              <w:jc w:val="both"/>
              <w:rPr>
                <w:rFonts w:ascii="Arial" w:eastAsia="Arial" w:hAnsi="Arial" w:cs="Arial"/>
                <w:i/>
                <w:sz w:val="20"/>
                <w:szCs w:val="20"/>
              </w:rPr>
            </w:pPr>
            <w:r>
              <w:rPr>
                <w:rFonts w:ascii="Arial" w:eastAsia="Arial" w:hAnsi="Arial" w:cs="Arial"/>
                <w:i/>
                <w:sz w:val="20"/>
                <w:szCs w:val="20"/>
              </w:rPr>
              <w:t>• CAN BE FURTHER DEVELOPED, adding more measurement parameters.</w:t>
            </w:r>
          </w:p>
        </w:tc>
      </w:tr>
      <w:tr w:rsidR="002A510D">
        <w:trPr>
          <w:trHeight w:val="232"/>
        </w:trPr>
        <w:tc>
          <w:tcPr>
            <w:tcW w:w="3397" w:type="dxa"/>
            <w:shd w:val="clear" w:color="auto" w:fill="DEEBF6"/>
            <w:vAlign w:val="center"/>
          </w:tcPr>
          <w:p w:rsidR="002A510D" w:rsidRDefault="00D52ADF">
            <w:pPr>
              <w:spacing w:before="60" w:after="60"/>
              <w:jc w:val="both"/>
              <w:rPr>
                <w:rFonts w:ascii="Arial" w:eastAsia="Arial" w:hAnsi="Arial" w:cs="Arial"/>
                <w:b/>
                <w:sz w:val="20"/>
                <w:szCs w:val="20"/>
              </w:rPr>
            </w:pPr>
            <w:r>
              <w:rPr>
                <w:rFonts w:ascii="Arial" w:eastAsia="Arial" w:hAnsi="Arial" w:cs="Arial"/>
                <w:b/>
                <w:sz w:val="20"/>
                <w:szCs w:val="20"/>
              </w:rPr>
              <w:t>Further information</w:t>
            </w:r>
          </w:p>
        </w:tc>
        <w:tc>
          <w:tcPr>
            <w:tcW w:w="6521" w:type="dxa"/>
            <w:vAlign w:val="center"/>
          </w:tcPr>
          <w:p w:rsidR="002A510D" w:rsidRDefault="008F6DA4">
            <w:pPr>
              <w:spacing w:before="60" w:after="60"/>
              <w:rPr>
                <w:rFonts w:ascii="Arial" w:eastAsia="Arial" w:hAnsi="Arial" w:cs="Arial"/>
                <w:i/>
                <w:sz w:val="20"/>
                <w:szCs w:val="20"/>
              </w:rPr>
            </w:pPr>
            <w:hyperlink r:id="rId13">
              <w:r w:rsidR="00D52ADF">
                <w:rPr>
                  <w:rFonts w:ascii="Arial" w:eastAsia="Arial" w:hAnsi="Arial" w:cs="Arial"/>
                  <w:i/>
                  <w:color w:val="0563C1"/>
                  <w:sz w:val="20"/>
                  <w:szCs w:val="20"/>
                  <w:u w:val="single"/>
                </w:rPr>
                <w:t>https://hello.emed4all.com/en/scn4all/</w:t>
              </w:r>
            </w:hyperlink>
            <w:r w:rsidR="00D52ADF">
              <w:rPr>
                <w:rFonts w:ascii="Arial" w:eastAsia="Arial" w:hAnsi="Arial" w:cs="Arial"/>
                <w:i/>
                <w:sz w:val="20"/>
                <w:szCs w:val="20"/>
              </w:rPr>
              <w:t xml:space="preserve"> </w:t>
            </w:r>
          </w:p>
        </w:tc>
      </w:tr>
      <w:tr w:rsidR="002A510D">
        <w:trPr>
          <w:trHeight w:val="232"/>
        </w:trPr>
        <w:tc>
          <w:tcPr>
            <w:tcW w:w="9918" w:type="dxa"/>
            <w:gridSpan w:val="2"/>
            <w:shd w:val="clear" w:color="auto" w:fill="DEEBF6"/>
          </w:tcPr>
          <w:p w:rsidR="002A510D" w:rsidRDefault="00D52ADF">
            <w:pPr>
              <w:spacing w:before="60" w:after="60"/>
              <w:rPr>
                <w:rFonts w:ascii="Arial" w:eastAsia="Arial" w:hAnsi="Arial" w:cs="Arial"/>
                <w:i/>
                <w:sz w:val="16"/>
                <w:szCs w:val="16"/>
              </w:rPr>
            </w:pPr>
            <w:r>
              <w:rPr>
                <w:rFonts w:ascii="Arial" w:eastAsia="Arial" w:hAnsi="Arial" w:cs="Arial"/>
                <w:b/>
                <w:sz w:val="20"/>
                <w:szCs w:val="20"/>
              </w:rPr>
              <w:t xml:space="preserve">Contact details  </w:t>
            </w:r>
            <w:r>
              <w:rPr>
                <w:rFonts w:ascii="Arial" w:eastAsia="Arial" w:hAnsi="Arial" w:cs="Arial"/>
                <w:i/>
                <w:sz w:val="16"/>
                <w:szCs w:val="16"/>
              </w:rPr>
              <w:t>[Technical: the contact details will be visible only to “Policy Learning Platforms registered members”</w:t>
            </w:r>
          </w:p>
        </w:tc>
      </w:tr>
      <w:tr w:rsidR="002A510D">
        <w:trPr>
          <w:trHeight w:val="232"/>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Name</w:t>
            </w:r>
          </w:p>
        </w:tc>
        <w:tc>
          <w:tcPr>
            <w:tcW w:w="6521" w:type="dxa"/>
            <w:shd w:val="clear" w:color="auto" w:fill="DEEBF6"/>
            <w:vAlign w:val="center"/>
          </w:tcPr>
          <w:p w:rsidR="002A510D" w:rsidRDefault="00D52ADF">
            <w:pPr>
              <w:spacing w:before="60" w:after="60"/>
              <w:rPr>
                <w:rFonts w:ascii="Arial" w:eastAsia="Arial" w:hAnsi="Arial" w:cs="Arial"/>
                <w:i/>
                <w:sz w:val="20"/>
                <w:szCs w:val="20"/>
              </w:rPr>
            </w:pPr>
            <w:r>
              <w:rPr>
                <w:rFonts w:ascii="Arial" w:eastAsia="Arial" w:hAnsi="Arial" w:cs="Arial"/>
                <w:i/>
                <w:sz w:val="20"/>
                <w:szCs w:val="20"/>
              </w:rPr>
              <w:t xml:space="preserve">Sándor Kulin, M.D. (Mr.), CEO </w:t>
            </w:r>
          </w:p>
        </w:tc>
      </w:tr>
      <w:tr w:rsidR="002A510D">
        <w:trPr>
          <w:trHeight w:val="232"/>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Organisation</w:t>
            </w:r>
          </w:p>
        </w:tc>
        <w:tc>
          <w:tcPr>
            <w:tcW w:w="6521" w:type="dxa"/>
            <w:shd w:val="clear" w:color="auto" w:fill="DEEBF6"/>
            <w:vAlign w:val="center"/>
          </w:tcPr>
          <w:p w:rsidR="002A510D" w:rsidRDefault="00D52ADF">
            <w:pPr>
              <w:spacing w:before="60" w:after="60"/>
              <w:rPr>
                <w:rFonts w:ascii="Arial" w:eastAsia="Arial" w:hAnsi="Arial" w:cs="Arial"/>
                <w:sz w:val="16"/>
                <w:szCs w:val="16"/>
              </w:rPr>
            </w:pPr>
            <w:r>
              <w:rPr>
                <w:rFonts w:ascii="Arial" w:eastAsia="Arial" w:hAnsi="Arial" w:cs="Arial"/>
                <w:i/>
                <w:sz w:val="20"/>
                <w:szCs w:val="20"/>
              </w:rPr>
              <w:t>E-Med4All Europe Ltd.</w:t>
            </w:r>
          </w:p>
        </w:tc>
      </w:tr>
      <w:tr w:rsidR="002A510D">
        <w:trPr>
          <w:trHeight w:val="232"/>
        </w:trPr>
        <w:tc>
          <w:tcPr>
            <w:tcW w:w="3397" w:type="dxa"/>
            <w:shd w:val="clear" w:color="auto" w:fill="DEEBF6"/>
            <w:vAlign w:val="center"/>
          </w:tcPr>
          <w:p w:rsidR="002A510D" w:rsidRDefault="00D52ADF">
            <w:pPr>
              <w:spacing w:before="60" w:after="60"/>
              <w:rPr>
                <w:rFonts w:ascii="Arial" w:eastAsia="Arial" w:hAnsi="Arial" w:cs="Arial"/>
                <w:b/>
                <w:sz w:val="20"/>
                <w:szCs w:val="20"/>
              </w:rPr>
            </w:pPr>
            <w:r>
              <w:rPr>
                <w:rFonts w:ascii="Arial" w:eastAsia="Arial" w:hAnsi="Arial" w:cs="Arial"/>
                <w:b/>
                <w:sz w:val="20"/>
                <w:szCs w:val="20"/>
              </w:rPr>
              <w:t>Email</w:t>
            </w:r>
          </w:p>
        </w:tc>
        <w:tc>
          <w:tcPr>
            <w:tcW w:w="6521" w:type="dxa"/>
            <w:shd w:val="clear" w:color="auto" w:fill="DEEBF6"/>
            <w:vAlign w:val="center"/>
          </w:tcPr>
          <w:p w:rsidR="002A510D" w:rsidRDefault="008F6DA4">
            <w:pPr>
              <w:spacing w:before="60" w:after="60"/>
              <w:rPr>
                <w:rFonts w:ascii="Arial" w:eastAsia="Arial" w:hAnsi="Arial" w:cs="Arial"/>
                <w:i/>
                <w:sz w:val="20"/>
                <w:szCs w:val="20"/>
              </w:rPr>
            </w:pPr>
            <w:hyperlink r:id="rId14">
              <w:r w:rsidR="00D52ADF">
                <w:rPr>
                  <w:rFonts w:ascii="Arial" w:eastAsia="Arial" w:hAnsi="Arial" w:cs="Arial"/>
                  <w:i/>
                  <w:color w:val="0563C1"/>
                  <w:sz w:val="20"/>
                  <w:szCs w:val="20"/>
                  <w:u w:val="single"/>
                </w:rPr>
                <w:t>info@emed4all.com</w:t>
              </w:r>
            </w:hyperlink>
            <w:r w:rsidR="00D52ADF">
              <w:rPr>
                <w:rFonts w:ascii="Arial" w:eastAsia="Arial" w:hAnsi="Arial" w:cs="Arial"/>
                <w:i/>
                <w:sz w:val="20"/>
                <w:szCs w:val="20"/>
              </w:rPr>
              <w:t xml:space="preserve"> </w:t>
            </w:r>
          </w:p>
        </w:tc>
      </w:tr>
      <w:tr w:rsidR="002A510D">
        <w:trPr>
          <w:trHeight w:val="232"/>
        </w:trPr>
        <w:tc>
          <w:tcPr>
            <w:tcW w:w="9918" w:type="dxa"/>
            <w:gridSpan w:val="2"/>
            <w:shd w:val="clear" w:color="auto" w:fill="auto"/>
            <w:vAlign w:val="center"/>
          </w:tcPr>
          <w:p w:rsidR="002A510D" w:rsidRDefault="002A510D">
            <w:pPr>
              <w:tabs>
                <w:tab w:val="left" w:pos="720"/>
                <w:tab w:val="left" w:pos="1440"/>
                <w:tab w:val="left" w:pos="3256"/>
              </w:tabs>
              <w:spacing w:before="60" w:after="60"/>
              <w:rPr>
                <w:rFonts w:ascii="Arial" w:eastAsia="Arial" w:hAnsi="Arial" w:cs="Arial"/>
                <w:i/>
                <w:sz w:val="16"/>
                <w:szCs w:val="16"/>
              </w:rPr>
            </w:pPr>
          </w:p>
        </w:tc>
      </w:tr>
      <w:tr w:rsidR="002A510D">
        <w:trPr>
          <w:trHeight w:val="961"/>
        </w:trPr>
        <w:tc>
          <w:tcPr>
            <w:tcW w:w="3397" w:type="dxa"/>
            <w:shd w:val="clear" w:color="auto" w:fill="F7CBAC"/>
            <w:vAlign w:val="center"/>
          </w:tcPr>
          <w:p w:rsidR="002A510D" w:rsidRDefault="00D52ADF">
            <w:pPr>
              <w:spacing w:before="60" w:after="60"/>
              <w:ind w:left="720"/>
              <w:rPr>
                <w:rFonts w:ascii="Arial" w:eastAsia="Arial" w:hAnsi="Arial" w:cs="Arial"/>
                <w:b/>
                <w:sz w:val="20"/>
                <w:szCs w:val="20"/>
              </w:rPr>
            </w:pPr>
            <w:r>
              <w:rPr>
                <w:rFonts w:ascii="Arial" w:eastAsia="Arial" w:hAnsi="Arial" w:cs="Arial"/>
                <w:b/>
                <w:color w:val="FF0000"/>
                <w:sz w:val="20"/>
                <w:szCs w:val="20"/>
              </w:rPr>
              <w:t xml:space="preserve">Expert opinion </w:t>
            </w:r>
          </w:p>
        </w:tc>
        <w:tc>
          <w:tcPr>
            <w:tcW w:w="6521" w:type="dxa"/>
            <w:vAlign w:val="center"/>
          </w:tcPr>
          <w:p w:rsidR="002A510D" w:rsidRDefault="00D52ADF">
            <w:pPr>
              <w:spacing w:before="60" w:after="60"/>
              <w:rPr>
                <w:rFonts w:ascii="Arial" w:eastAsia="Arial" w:hAnsi="Arial" w:cs="Arial"/>
                <w:i/>
                <w:sz w:val="16"/>
                <w:szCs w:val="16"/>
              </w:rPr>
            </w:pPr>
            <w:r>
              <w:rPr>
                <w:rFonts w:ascii="Arial" w:eastAsia="Arial" w:hAnsi="Arial" w:cs="Arial"/>
                <w:i/>
                <w:sz w:val="16"/>
                <w:szCs w:val="16"/>
              </w:rPr>
              <w:t xml:space="preserve">[500 characters] </w:t>
            </w:r>
            <w:r>
              <w:rPr>
                <w:rFonts w:ascii="Arial" w:eastAsia="Arial" w:hAnsi="Arial" w:cs="Arial"/>
                <w:i/>
                <w:color w:val="FF0000"/>
                <w:sz w:val="16"/>
                <w:szCs w:val="16"/>
              </w:rPr>
              <w:t>[</w:t>
            </w:r>
            <w:r>
              <w:rPr>
                <w:rFonts w:ascii="Arial" w:eastAsia="Arial" w:hAnsi="Arial" w:cs="Arial"/>
                <w:b/>
                <w:i/>
                <w:color w:val="FF0000"/>
                <w:sz w:val="16"/>
                <w:szCs w:val="16"/>
              </w:rPr>
              <w:t>Technical: to be filled in by the Policy Learning Platforms experts</w:t>
            </w:r>
            <w:r>
              <w:rPr>
                <w:rFonts w:ascii="Arial" w:eastAsia="Arial" w:hAnsi="Arial" w:cs="Arial"/>
                <w:i/>
                <w:color w:val="FF0000"/>
                <w:sz w:val="16"/>
                <w:szCs w:val="16"/>
              </w:rPr>
              <w:t>]</w:t>
            </w:r>
          </w:p>
        </w:tc>
      </w:tr>
    </w:tbl>
    <w:p w:rsidR="002A510D" w:rsidRDefault="002A510D"/>
    <w:p w:rsidR="002A510D" w:rsidRDefault="002A510D"/>
    <w:p w:rsidR="002A510D" w:rsidRDefault="002A510D"/>
    <w:p w:rsidR="002A510D" w:rsidRDefault="002A510D"/>
    <w:sectPr w:rsidR="002A510D">
      <w:headerReference w:type="default" r:id="rId15"/>
      <w:pgSz w:w="11907" w:h="16840"/>
      <w:pgMar w:top="2127" w:right="1134" w:bottom="1134" w:left="1134"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A4" w:rsidRDefault="008F6DA4">
      <w:r>
        <w:separator/>
      </w:r>
    </w:p>
  </w:endnote>
  <w:endnote w:type="continuationSeparator" w:id="0">
    <w:p w:rsidR="008F6DA4" w:rsidRDefault="008F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A4" w:rsidRDefault="008F6DA4">
      <w:r>
        <w:separator/>
      </w:r>
    </w:p>
  </w:footnote>
  <w:footnote w:type="continuationSeparator" w:id="0">
    <w:p w:rsidR="008F6DA4" w:rsidRDefault="008F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0D" w:rsidRDefault="008F6DA4">
    <w:pPr>
      <w:pBdr>
        <w:top w:val="nil"/>
        <w:left w:val="nil"/>
        <w:bottom w:val="nil"/>
        <w:right w:val="nil"/>
        <w:between w:val="nil"/>
      </w:pBdr>
      <w:tabs>
        <w:tab w:val="center" w:pos="4320"/>
        <w:tab w:val="right" w:pos="8640"/>
        <w:tab w:val="left" w:pos="2445"/>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7pt;height:254.8pt;rotation:315;z-index:-251657728;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sidR="00D52ADF">
      <w:rPr>
        <w:color w:val="000000"/>
      </w:rPr>
      <w:tab/>
      <w:t xml:space="preserve">                                                                                                                                                                                    </w:t>
    </w:r>
    <w:r w:rsidR="00D52ADF">
      <w:rPr>
        <w:noProof/>
        <w:lang w:val="hu-HU" w:eastAsia="hu-HU"/>
      </w:rPr>
      <w:drawing>
        <wp:anchor distT="0" distB="0" distL="0" distR="0" simplePos="0" relativeHeight="251656704" behindDoc="1" locked="0" layoutInCell="1" hidden="0" allowOverlap="1">
          <wp:simplePos x="0" y="0"/>
          <wp:positionH relativeFrom="column">
            <wp:posOffset>4502396</wp:posOffset>
          </wp:positionH>
          <wp:positionV relativeFrom="paragraph">
            <wp:posOffset>-201018</wp:posOffset>
          </wp:positionV>
          <wp:extent cx="1593671" cy="847965"/>
          <wp:effectExtent l="0" t="0" r="0" b="0"/>
          <wp:wrapNone/>
          <wp:docPr id="5" name="image1.jpg" descr="HoCare Logo"/>
          <wp:cNvGraphicFramePr/>
          <a:graphic xmlns:a="http://schemas.openxmlformats.org/drawingml/2006/main">
            <a:graphicData uri="http://schemas.openxmlformats.org/drawingml/2006/picture">
              <pic:pic xmlns:pic="http://schemas.openxmlformats.org/drawingml/2006/picture">
                <pic:nvPicPr>
                  <pic:cNvPr id="0" name="image1.jpg" descr="HoCare Logo"/>
                  <pic:cNvPicPr preferRelativeResize="0"/>
                </pic:nvPicPr>
                <pic:blipFill>
                  <a:blip r:embed="rId1"/>
                  <a:srcRect/>
                  <a:stretch>
                    <a:fillRect/>
                  </a:stretch>
                </pic:blipFill>
                <pic:spPr>
                  <a:xfrm>
                    <a:off x="0" y="0"/>
                    <a:ext cx="1593671" cy="847965"/>
                  </a:xfrm>
                  <a:prstGeom prst="rect">
                    <a:avLst/>
                  </a:prstGeom>
                  <a:ln/>
                </pic:spPr>
              </pic:pic>
            </a:graphicData>
          </a:graphic>
        </wp:anchor>
      </w:drawing>
    </w:r>
    <w:r w:rsidR="00D52ADF">
      <w:rPr>
        <w:noProof/>
        <w:lang w:val="hu-HU" w:eastAsia="hu-HU"/>
      </w:rPr>
      <mc:AlternateContent>
        <mc:Choice Requires="wpg">
          <w:drawing>
            <wp:anchor distT="0" distB="0" distL="114300" distR="114300" simplePos="0" relativeHeight="251657728" behindDoc="0" locked="0" layoutInCell="1" hidden="0" allowOverlap="1">
              <wp:simplePos x="0" y="0"/>
              <wp:positionH relativeFrom="column">
                <wp:posOffset>12701</wp:posOffset>
              </wp:positionH>
              <wp:positionV relativeFrom="paragraph">
                <wp:posOffset>-126999</wp:posOffset>
              </wp:positionV>
              <wp:extent cx="2178685" cy="841375"/>
              <wp:effectExtent l="0" t="0" r="0" b="0"/>
              <wp:wrapNone/>
              <wp:docPr id="4" name="Csoportba foglalás 4"/>
              <wp:cNvGraphicFramePr/>
              <a:graphic xmlns:a="http://schemas.openxmlformats.org/drawingml/2006/main">
                <a:graphicData uri="http://schemas.microsoft.com/office/word/2010/wordprocessingGroup">
                  <wpg:wgp>
                    <wpg:cNvGrpSpPr/>
                    <wpg:grpSpPr>
                      <a:xfrm>
                        <a:off x="0" y="0"/>
                        <a:ext cx="2178685" cy="841375"/>
                        <a:chOff x="4256658" y="3359313"/>
                        <a:chExt cx="2178685" cy="841375"/>
                      </a:xfrm>
                    </wpg:grpSpPr>
                    <wpg:grpSp>
                      <wpg:cNvPr id="1" name="Csoportba foglalás 1"/>
                      <wpg:cNvGrpSpPr/>
                      <wpg:grpSpPr>
                        <a:xfrm>
                          <a:off x="4256658" y="3359313"/>
                          <a:ext cx="2178685" cy="841375"/>
                          <a:chOff x="0" y="0"/>
                          <a:chExt cx="2178739" cy="841568"/>
                        </a:xfrm>
                      </wpg:grpSpPr>
                      <wps:wsp>
                        <wps:cNvPr id="2" name="Téglalap 2"/>
                        <wps:cNvSpPr/>
                        <wps:spPr>
                          <a:xfrm>
                            <a:off x="0" y="0"/>
                            <a:ext cx="2178725" cy="841550"/>
                          </a:xfrm>
                          <a:prstGeom prst="rect">
                            <a:avLst/>
                          </a:prstGeom>
                          <a:noFill/>
                          <a:ln>
                            <a:noFill/>
                          </a:ln>
                        </wps:spPr>
                        <wps:txbx>
                          <w:txbxContent>
                            <w:p w:rsidR="002A510D" w:rsidRDefault="002A510D">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4"/>
                          <pic:cNvPicPr preferRelativeResize="0"/>
                        </pic:nvPicPr>
                        <pic:blipFill rotWithShape="1">
                          <a:blip r:embed="rId2">
                            <a:alphaModFix/>
                          </a:blip>
                          <a:srcRect/>
                          <a:stretch/>
                        </pic:blipFill>
                        <pic:spPr>
                          <a:xfrm>
                            <a:off x="0" y="0"/>
                            <a:ext cx="2178739" cy="634212"/>
                          </a:xfrm>
                          <a:prstGeom prst="rect">
                            <a:avLst/>
                          </a:prstGeom>
                          <a:noFill/>
                          <a:ln>
                            <a:noFill/>
                          </a:ln>
                        </pic:spPr>
                      </pic:pic>
                      <wps:wsp>
                        <wps:cNvPr id="6" name="Téglalap 6"/>
                        <wps:cNvSpPr/>
                        <wps:spPr>
                          <a:xfrm>
                            <a:off x="63335" y="659008"/>
                            <a:ext cx="2064998" cy="182560"/>
                          </a:xfrm>
                          <a:prstGeom prst="rect">
                            <a:avLst/>
                          </a:prstGeom>
                          <a:noFill/>
                          <a:ln>
                            <a:noFill/>
                          </a:ln>
                        </wps:spPr>
                        <wps:txbx>
                          <w:txbxContent>
                            <w:p w:rsidR="002A510D" w:rsidRDefault="00D52ADF">
                              <w:pPr>
                                <w:spacing w:after="200" w:line="275" w:lineRule="auto"/>
                                <w:jc w:val="both"/>
                                <w:textDirection w:val="btLr"/>
                              </w:pPr>
                              <w:r>
                                <w:rPr>
                                  <w:rFonts w:ascii="Arial" w:eastAsia="Arial" w:hAnsi="Arial" w:cs="Arial"/>
                                  <w:color w:val="000000"/>
                                  <w:sz w:val="13"/>
                                </w:rPr>
                                <w:t>European Union</w:t>
                              </w:r>
                              <w:r>
                                <w:rPr>
                                  <w:rFonts w:ascii="Calibri" w:eastAsia="Calibri" w:hAnsi="Calibri" w:cs="Calibri"/>
                                  <w:color w:val="000000"/>
                                  <w:sz w:val="13"/>
                                </w:rPr>
                                <w:t xml:space="preserve"> | European </w:t>
                              </w:r>
                              <w:r>
                                <w:rPr>
                                  <w:rFonts w:ascii="Arial" w:eastAsia="Arial" w:hAnsi="Arial" w:cs="Arial"/>
                                  <w:color w:val="000000"/>
                                  <w:sz w:val="13"/>
                                </w:rPr>
                                <w:t>Regional Development Fund</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-126999</wp:posOffset>
              </wp:positionV>
              <wp:extent cx="2178685" cy="841375"/>
              <wp:effectExtent b="0" l="0" r="0" t="0"/>
              <wp:wrapNone/>
              <wp:docPr id="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178685" cy="8413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108ED"/>
    <w:multiLevelType w:val="multilevel"/>
    <w:tmpl w:val="5F3AB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A83B58"/>
    <w:multiLevelType w:val="multilevel"/>
    <w:tmpl w:val="C36A3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8A333A"/>
    <w:multiLevelType w:val="multilevel"/>
    <w:tmpl w:val="D5C6C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0D"/>
    <w:rsid w:val="00073C7B"/>
    <w:rsid w:val="002A510D"/>
    <w:rsid w:val="003D250C"/>
    <w:rsid w:val="005A7466"/>
    <w:rsid w:val="0065682D"/>
    <w:rsid w:val="0080405D"/>
    <w:rsid w:val="008930F0"/>
    <w:rsid w:val="008F6DA4"/>
    <w:rsid w:val="00A458CD"/>
    <w:rsid w:val="00CA1F5A"/>
    <w:rsid w:val="00CD4154"/>
    <w:rsid w:val="00D52A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B6EEB4-CD58-4B48-9571-0F430565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lv-LV" w:eastAsia="en-US"/>
    </w:rPr>
  </w:style>
  <w:style w:type="paragraph" w:styleId="Cmsor1">
    <w:name w:val="heading 1"/>
    <w:basedOn w:val="Norml"/>
    <w:next w:val="Norml"/>
    <w:qFormat/>
    <w:pPr>
      <w:keepNext/>
      <w:outlineLvl w:val="0"/>
    </w:pPr>
    <w:rPr>
      <w:rFonts w:ascii="Verdana" w:eastAsia="Batang" w:hAnsi="Verdana"/>
      <w:b/>
      <w:bCs/>
      <w:i/>
      <w:iCs/>
      <w:sz w:val="18"/>
      <w:lang w:val="en-GB"/>
    </w:rPr>
  </w:style>
  <w:style w:type="paragraph" w:styleId="Cmsor2">
    <w:name w:val="heading 2"/>
    <w:basedOn w:val="Norml"/>
    <w:next w:val="Norml"/>
    <w:qFormat/>
    <w:pPr>
      <w:keepNext/>
      <w:outlineLvl w:val="1"/>
    </w:pPr>
    <w:rPr>
      <w:rFonts w:ascii="Verdana" w:hAnsi="Verdana"/>
      <w:i/>
      <w:iCs/>
      <w:sz w:val="18"/>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qFormat/>
    <w:pPr>
      <w:jc w:val="center"/>
    </w:pPr>
    <w:rPr>
      <w:rFonts w:ascii="Batang" w:eastAsia="Batang" w:hAnsi="Batang"/>
      <w:b/>
      <w:bCs/>
      <w:lang w:val="de-DE"/>
    </w:rPr>
  </w:style>
  <w:style w:type="paragraph" w:styleId="Lbjegyzetszveg">
    <w:name w:val="footnote text"/>
    <w:basedOn w:val="Norml"/>
    <w:semiHidden/>
    <w:rPr>
      <w:sz w:val="20"/>
      <w:szCs w:val="20"/>
    </w:rPr>
  </w:style>
  <w:style w:type="character" w:styleId="Lbjegyzet-hivatkozs">
    <w:name w:val="footnote reference"/>
    <w:basedOn w:val="Bekezdsalapbettpusa"/>
    <w:semiHidden/>
    <w:rPr>
      <w:vertAlign w:val="superscript"/>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paragraph" w:styleId="Szvegtrzs">
    <w:name w:val="Body Text"/>
    <w:basedOn w:val="Norml"/>
    <w:rPr>
      <w:rFonts w:ascii="Verdana" w:eastAsia="Batang" w:hAnsi="Verdana"/>
      <w:sz w:val="18"/>
      <w:lang w:val="en-GB"/>
    </w:rPr>
  </w:style>
  <w:style w:type="paragraph" w:styleId="Szvegtrzs2">
    <w:name w:val="Body Text 2"/>
    <w:basedOn w:val="Norml"/>
    <w:rPr>
      <w:rFonts w:ascii="Verdana" w:eastAsia="Batang" w:hAnsi="Verdana"/>
      <w:i/>
      <w:iCs/>
      <w:sz w:val="18"/>
      <w:lang w:val="en-GB"/>
    </w:rPr>
  </w:style>
  <w:style w:type="table" w:styleId="Rcsostblzat">
    <w:name w:val="Table Grid"/>
    <w:basedOn w:val="Normltblzat"/>
    <w:rsid w:val="002C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A96208"/>
    <w:pPr>
      <w:spacing w:before="100" w:beforeAutospacing="1" w:after="100" w:afterAutospacing="1"/>
    </w:pPr>
    <w:rPr>
      <w:lang w:val="en-GB" w:eastAsia="en-GB"/>
    </w:rPr>
  </w:style>
  <w:style w:type="character" w:styleId="Jegyzethivatkozs">
    <w:name w:val="annotation reference"/>
    <w:uiPriority w:val="99"/>
    <w:semiHidden/>
    <w:unhideWhenUsed/>
    <w:rsid w:val="00CC240F"/>
    <w:rPr>
      <w:sz w:val="16"/>
      <w:szCs w:val="16"/>
    </w:rPr>
  </w:style>
  <w:style w:type="paragraph" w:styleId="Jegyzetszveg">
    <w:name w:val="annotation text"/>
    <w:basedOn w:val="Norml"/>
    <w:link w:val="JegyzetszvegChar"/>
    <w:uiPriority w:val="99"/>
    <w:semiHidden/>
    <w:unhideWhenUsed/>
    <w:rsid w:val="00CC240F"/>
    <w:pPr>
      <w:spacing w:after="200" w:line="276" w:lineRule="auto"/>
    </w:pPr>
    <w:rPr>
      <w:rFonts w:ascii="Calibri" w:eastAsia="Calibri" w:hAnsi="Calibri"/>
      <w:sz w:val="20"/>
      <w:szCs w:val="20"/>
      <w:lang w:val="fr-FR"/>
    </w:rPr>
  </w:style>
  <w:style w:type="character" w:customStyle="1" w:styleId="JegyzetszvegChar">
    <w:name w:val="Jegyzetszöveg Char"/>
    <w:basedOn w:val="Bekezdsalapbettpusa"/>
    <w:link w:val="Jegyzetszveg"/>
    <w:uiPriority w:val="99"/>
    <w:semiHidden/>
    <w:rsid w:val="00CC240F"/>
    <w:rPr>
      <w:rFonts w:ascii="Calibri" w:eastAsia="Calibri" w:hAnsi="Calibri"/>
      <w:lang w:val="fr-FR" w:eastAsia="en-US"/>
    </w:rPr>
  </w:style>
  <w:style w:type="paragraph" w:styleId="Buborkszveg">
    <w:name w:val="Balloon Text"/>
    <w:basedOn w:val="Norml"/>
    <w:link w:val="BuborkszvegChar"/>
    <w:uiPriority w:val="99"/>
    <w:semiHidden/>
    <w:unhideWhenUsed/>
    <w:rsid w:val="00CC240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240F"/>
    <w:rPr>
      <w:rFonts w:ascii="Segoe UI" w:hAnsi="Segoe UI" w:cs="Segoe UI"/>
      <w:sz w:val="18"/>
      <w:szCs w:val="18"/>
      <w:lang w:val="lv-LV" w:eastAsia="en-US"/>
    </w:rPr>
  </w:style>
  <w:style w:type="paragraph" w:styleId="Listaszerbekezds">
    <w:name w:val="List Paragraph"/>
    <w:basedOn w:val="Norml"/>
    <w:uiPriority w:val="34"/>
    <w:qFormat/>
    <w:rsid w:val="00DD1F7B"/>
    <w:pPr>
      <w:ind w:left="720"/>
      <w:contextualSpacing/>
    </w:pPr>
  </w:style>
  <w:style w:type="paragraph" w:styleId="Megjegyzstrgya">
    <w:name w:val="annotation subject"/>
    <w:basedOn w:val="Jegyzetszveg"/>
    <w:next w:val="Jegyzetszveg"/>
    <w:link w:val="MegjegyzstrgyaChar"/>
    <w:uiPriority w:val="99"/>
    <w:semiHidden/>
    <w:unhideWhenUsed/>
    <w:rsid w:val="006A522F"/>
    <w:pPr>
      <w:spacing w:after="0" w:line="240" w:lineRule="auto"/>
    </w:pPr>
    <w:rPr>
      <w:rFonts w:ascii="Times New Roman" w:eastAsia="Times New Roman" w:hAnsi="Times New Roman"/>
      <w:b/>
      <w:bCs/>
      <w:lang w:val="lv-LV"/>
    </w:rPr>
  </w:style>
  <w:style w:type="character" w:customStyle="1" w:styleId="MegjegyzstrgyaChar">
    <w:name w:val="Megjegyzés tárgya Char"/>
    <w:basedOn w:val="JegyzetszvegChar"/>
    <w:link w:val="Megjegyzstrgya"/>
    <w:uiPriority w:val="99"/>
    <w:semiHidden/>
    <w:rsid w:val="006A522F"/>
    <w:rPr>
      <w:rFonts w:ascii="Calibri" w:eastAsia="Calibri" w:hAnsi="Calibri"/>
      <w:b/>
      <w:bCs/>
      <w:lang w:val="lv-LV" w:eastAsia="en-US"/>
    </w:rPr>
  </w:style>
  <w:style w:type="character" w:styleId="Hiperhivatkozs">
    <w:name w:val="Hyperlink"/>
    <w:basedOn w:val="Bekezdsalapbettpusa"/>
    <w:uiPriority w:val="99"/>
    <w:unhideWhenUsed/>
    <w:rsid w:val="004020A4"/>
    <w:rPr>
      <w:color w:val="0563C1" w:themeColor="hyperlink"/>
      <w:u w:val="single"/>
    </w:rPr>
  </w:style>
  <w:style w:type="paragraph" w:styleId="Vltozat">
    <w:name w:val="Revision"/>
    <w:hidden/>
    <w:uiPriority w:val="99"/>
    <w:semiHidden/>
    <w:rsid w:val="009B2FA3"/>
    <w:rPr>
      <w:lang w:val="lv-LV" w:eastAsia="en-US"/>
    </w:rPr>
  </w:style>
  <w:style w:type="character" w:customStyle="1" w:styleId="UnresolvedMention">
    <w:name w:val="Unresolved Mention"/>
    <w:basedOn w:val="Bekezdsalapbettpusa"/>
    <w:uiPriority w:val="99"/>
    <w:semiHidden/>
    <w:unhideWhenUsed/>
    <w:rsid w:val="00976BBA"/>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115" w:type="dxa"/>
        <w:right w:w="115" w:type="dxa"/>
      </w:tblCellMar>
    </w:tblPr>
  </w:style>
  <w:style w:type="table" w:customStyle="1" w:styleId="a1">
    <w:basedOn w:val="Normltblzat"/>
    <w:tblPr>
      <w:tblStyleRowBandSize w:val="1"/>
      <w:tblStyleColBandSize w:val="1"/>
      <w:tblCellMar>
        <w:left w:w="115" w:type="dxa"/>
        <w:right w:w="115" w:type="dxa"/>
      </w:tblCellMar>
    </w:tblPr>
  </w:style>
  <w:style w:type="table" w:customStyle="1" w:styleId="a2">
    <w:basedOn w:val="Normltblzat"/>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edicalonline.hu/gyogyitas/cikk/covid_19_beteg_arterias_funkcioinak_valtozasai_fotopletizmografia_alapu_pulzushullam_analizis_alapjan" TargetMode="External"/><Relationship Id="rId13" Type="http://schemas.openxmlformats.org/officeDocument/2006/relationships/hyperlink" Target="https://hello.emed4all.com/en/scn4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0/s211655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app102279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utureu.europa.eu/processes/Health/f/4/meetings/128273?locale=en" TargetMode="External"/><Relationship Id="rId4" Type="http://schemas.openxmlformats.org/officeDocument/2006/relationships/settings" Target="settings.xml"/><Relationship Id="rId9" Type="http://schemas.openxmlformats.org/officeDocument/2006/relationships/hyperlink" Target="https://24.hu/belfold/2020/12/14/pulzoximeter-haziorvos-megfigyeles-karanten/" TargetMode="External"/><Relationship Id="rId14" Type="http://schemas.openxmlformats.org/officeDocument/2006/relationships/hyperlink" Target="mailto:info@emed4al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Ct8qKrn59RLxID9ecI13DDAg==">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1030</Words>
  <Characters>7110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AEEK</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Weigl Ferenc</cp:lastModifiedBy>
  <cp:revision>9</cp:revision>
  <dcterms:created xsi:type="dcterms:W3CDTF">2022-09-01T10:12:00Z</dcterms:created>
  <dcterms:modified xsi:type="dcterms:W3CDTF">2022-10-04T05:42:00Z</dcterms:modified>
</cp:coreProperties>
</file>