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B30BA" w14:textId="248BE1D1" w:rsidR="00AD38B9" w:rsidRDefault="00AD38B9" w:rsidP="008073AA">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Dual land use - </w:t>
      </w:r>
      <w:r w:rsidRPr="00AD38B9">
        <w:rPr>
          <w:rFonts w:ascii="Times New Roman" w:hAnsi="Times New Roman" w:cs="Times New Roman"/>
          <w:b/>
          <w:bCs/>
          <w:sz w:val="28"/>
          <w:szCs w:val="28"/>
          <w:lang w:val="en-US"/>
        </w:rPr>
        <w:t>possibility to use agricultural land for both food production and the generation of solar power</w:t>
      </w:r>
    </w:p>
    <w:p w14:paraId="1FDBB151" w14:textId="77777777" w:rsidR="00AD38B9" w:rsidRDefault="008073AA" w:rsidP="008073AA">
      <w:pPr>
        <w:rPr>
          <w:rFonts w:ascii="Times New Roman" w:hAnsi="Times New Roman" w:cs="Times New Roman"/>
          <w:sz w:val="24"/>
          <w:szCs w:val="24"/>
          <w:lang w:val="en-US"/>
        </w:rPr>
      </w:pPr>
      <w:r w:rsidRPr="00A17FE1">
        <w:rPr>
          <w:rFonts w:ascii="Times New Roman" w:hAnsi="Times New Roman" w:cs="Times New Roman"/>
          <w:b/>
          <w:bCs/>
          <w:sz w:val="24"/>
          <w:szCs w:val="24"/>
          <w:lang w:val="en-US"/>
        </w:rPr>
        <w:t>Short summary of the practice:</w:t>
      </w:r>
      <w:r w:rsidRPr="00A17FE1">
        <w:rPr>
          <w:rFonts w:ascii="Times New Roman" w:hAnsi="Times New Roman" w:cs="Times New Roman"/>
          <w:sz w:val="24"/>
          <w:szCs w:val="24"/>
          <w:lang w:val="en-US"/>
        </w:rPr>
        <w:t xml:space="preserve"> </w:t>
      </w:r>
    </w:p>
    <w:p w14:paraId="5F240013" w14:textId="62B45B11" w:rsidR="0097563E" w:rsidRDefault="00AD38B9" w:rsidP="0097563E">
      <w:pPr>
        <w:rPr>
          <w:rFonts w:ascii="Times New Roman" w:hAnsi="Times New Roman" w:cs="Times New Roman"/>
          <w:sz w:val="24"/>
          <w:szCs w:val="24"/>
          <w:lang w:val="en-US"/>
        </w:rPr>
      </w:pPr>
      <w:r w:rsidRPr="00167048">
        <w:rPr>
          <w:rFonts w:ascii="Times New Roman" w:hAnsi="Times New Roman" w:cs="Times New Roman"/>
          <w:sz w:val="24"/>
          <w:szCs w:val="24"/>
          <w:lang w:val="en-US"/>
        </w:rPr>
        <w:t xml:space="preserve">In Lithuania, according to the </w:t>
      </w:r>
      <w:r w:rsidRPr="0044375F">
        <w:rPr>
          <w:rFonts w:ascii="Times New Roman" w:hAnsi="Times New Roman" w:cs="Times New Roman"/>
          <w:sz w:val="24"/>
          <w:szCs w:val="24"/>
          <w:lang w:val="en-US"/>
        </w:rPr>
        <w:t>Lithuanian 2023-2027 Agriculture Strategic plan</w:t>
      </w:r>
      <w:r w:rsidRPr="00167048">
        <w:rPr>
          <w:rFonts w:ascii="Times New Roman" w:hAnsi="Times New Roman" w:cs="Times New Roman"/>
          <w:sz w:val="24"/>
          <w:szCs w:val="24"/>
          <w:lang w:val="en-US"/>
        </w:rPr>
        <w:t xml:space="preserve">, </w:t>
      </w:r>
      <w:r w:rsidR="003906EC" w:rsidRPr="003906EC">
        <w:rPr>
          <w:rFonts w:ascii="Times New Roman" w:hAnsi="Times New Roman" w:cs="Times New Roman"/>
          <w:sz w:val="24"/>
          <w:szCs w:val="24"/>
          <w:lang w:val="en-US"/>
        </w:rPr>
        <w:t xml:space="preserve">dual land use is allowed </w:t>
      </w:r>
      <w:r w:rsidR="003906EC">
        <w:rPr>
          <w:rFonts w:ascii="Times New Roman" w:hAnsi="Times New Roman" w:cs="Times New Roman"/>
          <w:sz w:val="24"/>
          <w:szCs w:val="24"/>
          <w:lang w:val="en-US"/>
        </w:rPr>
        <w:t>– farmers can receive CAP subsidy</w:t>
      </w:r>
      <w:r w:rsidR="0097563E">
        <w:rPr>
          <w:rFonts w:ascii="Times New Roman" w:hAnsi="Times New Roman" w:cs="Times New Roman"/>
          <w:sz w:val="24"/>
          <w:szCs w:val="24"/>
          <w:lang w:val="en-US"/>
        </w:rPr>
        <w:t xml:space="preserve"> for land plots on which </w:t>
      </w:r>
      <w:r w:rsidR="0097563E" w:rsidRPr="00A17FE1">
        <w:rPr>
          <w:rFonts w:ascii="Times New Roman" w:hAnsi="Times New Roman" w:cs="Times New Roman"/>
          <w:sz w:val="24"/>
          <w:szCs w:val="24"/>
          <w:lang w:val="en-US"/>
        </w:rPr>
        <w:t>solar power plants are installed</w:t>
      </w:r>
      <w:r w:rsidR="0097563E">
        <w:rPr>
          <w:rFonts w:ascii="Times New Roman" w:hAnsi="Times New Roman" w:cs="Times New Roman"/>
          <w:sz w:val="24"/>
          <w:szCs w:val="24"/>
          <w:lang w:val="en-US"/>
        </w:rPr>
        <w:t xml:space="preserve"> – while </w:t>
      </w:r>
      <w:r w:rsidR="0097563E" w:rsidRPr="00A17FE1">
        <w:rPr>
          <w:rFonts w:ascii="Times New Roman" w:hAnsi="Times New Roman" w:cs="Times New Roman"/>
          <w:sz w:val="24"/>
          <w:szCs w:val="24"/>
          <w:lang w:val="en-US"/>
        </w:rPr>
        <w:t>encouraging the combination of agriculture and renewable energy sources to increase ecological and economic efficiency.</w:t>
      </w:r>
    </w:p>
    <w:p w14:paraId="11FD483D" w14:textId="568C2EF7" w:rsidR="00AD38B9" w:rsidRPr="00A17FE1" w:rsidRDefault="00AD38B9" w:rsidP="00C12EB4">
      <w:pPr>
        <w:rPr>
          <w:rFonts w:ascii="Times New Roman" w:hAnsi="Times New Roman" w:cs="Times New Roman"/>
          <w:sz w:val="24"/>
          <w:szCs w:val="24"/>
          <w:lang w:val="en-US"/>
        </w:rPr>
      </w:pPr>
    </w:p>
    <w:p w14:paraId="752AD77F" w14:textId="77777777" w:rsidR="008073AA" w:rsidRPr="00A17FE1" w:rsidRDefault="008073AA" w:rsidP="008073AA">
      <w:pPr>
        <w:rPr>
          <w:rFonts w:ascii="Times New Roman" w:hAnsi="Times New Roman" w:cs="Times New Roman"/>
          <w:b/>
          <w:bCs/>
          <w:sz w:val="24"/>
          <w:szCs w:val="24"/>
          <w:lang w:val="en-US"/>
        </w:rPr>
      </w:pPr>
      <w:r w:rsidRPr="00A17FE1">
        <w:rPr>
          <w:rFonts w:ascii="Times New Roman" w:hAnsi="Times New Roman" w:cs="Times New Roman"/>
          <w:b/>
          <w:bCs/>
          <w:sz w:val="24"/>
          <w:szCs w:val="24"/>
          <w:lang w:val="en-US"/>
        </w:rPr>
        <w:t>Detailed information on the practice:</w:t>
      </w:r>
    </w:p>
    <w:p w14:paraId="42B34533" w14:textId="4845A12D" w:rsidR="00594F52" w:rsidRPr="00167048" w:rsidRDefault="001E33C9" w:rsidP="00594F52">
      <w:pPr>
        <w:rPr>
          <w:rFonts w:ascii="Times New Roman" w:hAnsi="Times New Roman" w:cs="Times New Roman"/>
          <w:sz w:val="24"/>
          <w:szCs w:val="24"/>
          <w:lang w:val="en-US"/>
        </w:rPr>
      </w:pPr>
      <w:r w:rsidRPr="00A17FE1">
        <w:rPr>
          <w:rFonts w:ascii="Times New Roman" w:hAnsi="Times New Roman" w:cs="Times New Roman"/>
          <w:b/>
          <w:bCs/>
          <w:sz w:val="24"/>
          <w:szCs w:val="24"/>
          <w:lang w:val="en-US"/>
        </w:rPr>
        <w:t>Problem and context:</w:t>
      </w:r>
      <w:r w:rsidRPr="00A17FE1">
        <w:rPr>
          <w:rFonts w:ascii="Times New Roman" w:hAnsi="Times New Roman" w:cs="Times New Roman"/>
          <w:sz w:val="24"/>
          <w:szCs w:val="24"/>
          <w:lang w:val="en-US"/>
        </w:rPr>
        <w:t xml:space="preserve"> </w:t>
      </w:r>
      <w:r w:rsidR="00594F52" w:rsidRPr="00167048">
        <w:rPr>
          <w:rFonts w:ascii="Times New Roman" w:hAnsi="Times New Roman" w:cs="Times New Roman"/>
          <w:sz w:val="24"/>
          <w:szCs w:val="24"/>
          <w:lang w:val="en-US"/>
        </w:rPr>
        <w:t>The Lithuanian agricultural sector faces challenges related to rising energy prices and the effects of climate change. Traditional energy sources in rural areas are not only expensive</w:t>
      </w:r>
      <w:r w:rsidR="00594F52">
        <w:rPr>
          <w:rFonts w:ascii="Times New Roman" w:hAnsi="Times New Roman" w:cs="Times New Roman"/>
          <w:sz w:val="24"/>
          <w:szCs w:val="24"/>
          <w:lang w:val="en-US"/>
        </w:rPr>
        <w:t>,</w:t>
      </w:r>
      <w:r w:rsidR="00594F52" w:rsidRPr="00167048">
        <w:rPr>
          <w:rFonts w:ascii="Times New Roman" w:hAnsi="Times New Roman" w:cs="Times New Roman"/>
          <w:sz w:val="24"/>
          <w:szCs w:val="24"/>
          <w:lang w:val="en-US"/>
        </w:rPr>
        <w:t xml:space="preserve"> but also reduce sustainability. </w:t>
      </w:r>
      <w:r w:rsidR="00594F52">
        <w:rPr>
          <w:rFonts w:ascii="Times New Roman" w:hAnsi="Times New Roman" w:cs="Times New Roman"/>
          <w:sz w:val="24"/>
          <w:szCs w:val="24"/>
          <w:lang w:val="en-US"/>
        </w:rPr>
        <w:t>T</w:t>
      </w:r>
      <w:r w:rsidR="00594F52" w:rsidRPr="00167048">
        <w:rPr>
          <w:rFonts w:ascii="Times New Roman" w:hAnsi="Times New Roman" w:cs="Times New Roman"/>
          <w:sz w:val="24"/>
          <w:szCs w:val="24"/>
          <w:lang w:val="en-US"/>
        </w:rPr>
        <w:t>o reduce energy costs and promote organic farming, a practice has been introduced whereby farmers who invest in solar power plants</w:t>
      </w:r>
      <w:r w:rsidR="00594F52">
        <w:rPr>
          <w:rFonts w:ascii="Times New Roman" w:hAnsi="Times New Roman" w:cs="Times New Roman"/>
          <w:sz w:val="24"/>
          <w:szCs w:val="24"/>
          <w:lang w:val="en-US"/>
        </w:rPr>
        <w:t xml:space="preserve"> can receive CAP subsidy if the land </w:t>
      </w:r>
      <w:r w:rsidR="00D83083">
        <w:rPr>
          <w:rFonts w:ascii="Times New Roman" w:hAnsi="Times New Roman" w:cs="Times New Roman"/>
          <w:sz w:val="24"/>
          <w:szCs w:val="24"/>
          <w:lang w:val="en-US"/>
        </w:rPr>
        <w:t>plot i</w:t>
      </w:r>
      <w:r w:rsidR="00594F52">
        <w:rPr>
          <w:rFonts w:ascii="Times New Roman" w:hAnsi="Times New Roman" w:cs="Times New Roman"/>
          <w:sz w:val="24"/>
          <w:szCs w:val="24"/>
          <w:lang w:val="en-US"/>
        </w:rPr>
        <w:t xml:space="preserve">s used for dual purpose </w:t>
      </w:r>
      <w:r w:rsidR="00D83083">
        <w:rPr>
          <w:rFonts w:ascii="Times New Roman" w:hAnsi="Times New Roman" w:cs="Times New Roman"/>
          <w:sz w:val="24"/>
          <w:szCs w:val="24"/>
          <w:lang w:val="en-US"/>
        </w:rPr>
        <w:t xml:space="preserve">– </w:t>
      </w:r>
      <w:r w:rsidR="00D83083" w:rsidRPr="00A17FE1">
        <w:rPr>
          <w:rFonts w:ascii="Times New Roman" w:hAnsi="Times New Roman" w:cs="Times New Roman"/>
          <w:sz w:val="24"/>
          <w:szCs w:val="24"/>
          <w:lang w:val="en-US"/>
        </w:rPr>
        <w:t>solar power plants are installed</w:t>
      </w:r>
      <w:r w:rsidR="00D83083">
        <w:rPr>
          <w:rFonts w:ascii="Times New Roman" w:hAnsi="Times New Roman" w:cs="Times New Roman"/>
          <w:sz w:val="24"/>
          <w:szCs w:val="24"/>
          <w:lang w:val="en-US"/>
        </w:rPr>
        <w:t>, but land plot is used for agriculture activity – grazing or mowing of grasslands.</w:t>
      </w:r>
      <w:r w:rsidR="00F5015B">
        <w:rPr>
          <w:rFonts w:ascii="Times New Roman" w:hAnsi="Times New Roman" w:cs="Times New Roman"/>
          <w:sz w:val="24"/>
          <w:szCs w:val="24"/>
          <w:lang w:val="en-US"/>
        </w:rPr>
        <w:t xml:space="preserve"> </w:t>
      </w:r>
      <w:r w:rsidR="00594F52" w:rsidRPr="00167048">
        <w:rPr>
          <w:rFonts w:ascii="Times New Roman" w:hAnsi="Times New Roman" w:cs="Times New Roman"/>
          <w:sz w:val="24"/>
          <w:szCs w:val="24"/>
          <w:lang w:val="en-US"/>
        </w:rPr>
        <w:t>This practice not only encourages the introduction of renewable energy sources, but also contributes to the sustainable development of agriculture in Lithuania.</w:t>
      </w:r>
    </w:p>
    <w:p w14:paraId="3516F02D" w14:textId="77777777" w:rsidR="00D711A4" w:rsidRPr="00167048" w:rsidRDefault="008073AA" w:rsidP="00D711A4">
      <w:pPr>
        <w:rPr>
          <w:rFonts w:ascii="Times New Roman" w:hAnsi="Times New Roman" w:cs="Times New Roman"/>
          <w:sz w:val="24"/>
          <w:szCs w:val="24"/>
          <w:lang w:val="en-US"/>
        </w:rPr>
      </w:pPr>
      <w:r w:rsidRPr="00A17FE1">
        <w:rPr>
          <w:rFonts w:ascii="Times New Roman" w:hAnsi="Times New Roman" w:cs="Times New Roman"/>
          <w:b/>
          <w:bCs/>
          <w:sz w:val="24"/>
          <w:szCs w:val="24"/>
          <w:lang w:val="en-US"/>
        </w:rPr>
        <w:t>Achievement and implementation of goals:</w:t>
      </w:r>
      <w:r w:rsidRPr="00A17FE1">
        <w:rPr>
          <w:rFonts w:ascii="Times New Roman" w:hAnsi="Times New Roman" w:cs="Times New Roman"/>
          <w:sz w:val="24"/>
          <w:szCs w:val="24"/>
          <w:lang w:val="en-US"/>
        </w:rPr>
        <w:t xml:space="preserve"> </w:t>
      </w:r>
    </w:p>
    <w:p w14:paraId="60B716D8" w14:textId="2595447F" w:rsidR="008073AA" w:rsidRPr="00A17FE1" w:rsidRDefault="00D711A4" w:rsidP="008073AA">
      <w:pPr>
        <w:rPr>
          <w:rFonts w:ascii="Times New Roman" w:hAnsi="Times New Roman" w:cs="Times New Roman"/>
          <w:sz w:val="24"/>
          <w:szCs w:val="24"/>
          <w:lang w:val="en-US"/>
        </w:rPr>
      </w:pPr>
      <w:r w:rsidRPr="00167048">
        <w:rPr>
          <w:rFonts w:ascii="Times New Roman" w:hAnsi="Times New Roman" w:cs="Times New Roman"/>
          <w:sz w:val="24"/>
          <w:szCs w:val="24"/>
          <w:lang w:val="en-US"/>
        </w:rPr>
        <w:t xml:space="preserve">Practice is implemented </w:t>
      </w:r>
      <w:r>
        <w:rPr>
          <w:rFonts w:ascii="Times New Roman" w:hAnsi="Times New Roman" w:cs="Times New Roman"/>
          <w:sz w:val="24"/>
          <w:szCs w:val="24"/>
          <w:lang w:val="en-US"/>
        </w:rPr>
        <w:t xml:space="preserve">under </w:t>
      </w:r>
      <w:r w:rsidRPr="0044375F">
        <w:rPr>
          <w:rFonts w:ascii="Times New Roman" w:hAnsi="Times New Roman" w:cs="Times New Roman"/>
          <w:sz w:val="24"/>
          <w:szCs w:val="24"/>
          <w:lang w:val="en-US"/>
        </w:rPr>
        <w:t>Lithuanian 2023-2027 Agriculture Strategic plan</w:t>
      </w:r>
      <w:r>
        <w:rPr>
          <w:rFonts w:ascii="Times New Roman" w:hAnsi="Times New Roman" w:cs="Times New Roman"/>
          <w:sz w:val="24"/>
          <w:szCs w:val="24"/>
          <w:lang w:val="en-US"/>
        </w:rPr>
        <w:t xml:space="preserve"> to fulfill </w:t>
      </w:r>
      <w:r w:rsidRPr="00167048">
        <w:rPr>
          <w:rFonts w:ascii="Times New Roman" w:hAnsi="Times New Roman" w:cs="Times New Roman"/>
          <w:sz w:val="24"/>
          <w:szCs w:val="24"/>
          <w:lang w:val="en-US"/>
        </w:rPr>
        <w:t>Lithuania's obligations under the European Green Course and the European Union's Climate Strategy. In addition, it contributes to climate change mitigation goals and the renewal of the agricultural sector</w:t>
      </w:r>
      <w:r>
        <w:rPr>
          <w:rFonts w:ascii="Times New Roman" w:hAnsi="Times New Roman" w:cs="Times New Roman"/>
          <w:sz w:val="24"/>
          <w:szCs w:val="24"/>
          <w:lang w:val="en-US"/>
        </w:rPr>
        <w:t xml:space="preserve">, also, it </w:t>
      </w:r>
      <w:r w:rsidR="008073AA" w:rsidRPr="00A17FE1">
        <w:rPr>
          <w:rFonts w:ascii="Times New Roman" w:hAnsi="Times New Roman" w:cs="Times New Roman"/>
          <w:sz w:val="24"/>
          <w:szCs w:val="24"/>
          <w:lang w:val="en-US"/>
        </w:rPr>
        <w:t>promotes sustainable energy use and reduces the environmental impact of agriculture while maintaining financial support for farmers. The dual land use principle supports both economic benefits from solar power plants and ecological goals aligned with EU environmental policies.</w:t>
      </w:r>
    </w:p>
    <w:p w14:paraId="6AF447C4" w14:textId="77777777" w:rsidR="008073AA" w:rsidRPr="00A17FE1" w:rsidRDefault="008073AA" w:rsidP="008073AA">
      <w:pPr>
        <w:rPr>
          <w:rFonts w:ascii="Times New Roman" w:hAnsi="Times New Roman" w:cs="Times New Roman"/>
          <w:sz w:val="24"/>
          <w:szCs w:val="24"/>
          <w:lang w:val="en-US"/>
        </w:rPr>
      </w:pPr>
      <w:r w:rsidRPr="00A17FE1">
        <w:rPr>
          <w:rFonts w:ascii="Times New Roman" w:hAnsi="Times New Roman" w:cs="Times New Roman"/>
          <w:sz w:val="24"/>
          <w:szCs w:val="24"/>
          <w:lang w:val="en-US"/>
        </w:rPr>
        <w:t>Changing these rules aligns with Lithuania's efforts to achieve the European Green Deal goals, encourage sustainable land use, and help farmers diversify their income while reducing dependence on traditional agricultural practices.</w:t>
      </w:r>
    </w:p>
    <w:p w14:paraId="3872083D" w14:textId="2CD1271B" w:rsidR="008073AA" w:rsidRPr="00A17FE1" w:rsidRDefault="008073AA" w:rsidP="008073AA">
      <w:pPr>
        <w:rPr>
          <w:rFonts w:ascii="Times New Roman" w:hAnsi="Times New Roman" w:cs="Times New Roman"/>
          <w:sz w:val="24"/>
          <w:szCs w:val="24"/>
          <w:lang w:val="en-US"/>
        </w:rPr>
      </w:pPr>
      <w:r w:rsidRPr="00A17FE1">
        <w:rPr>
          <w:rFonts w:ascii="Times New Roman" w:hAnsi="Times New Roman" w:cs="Times New Roman"/>
          <w:b/>
          <w:bCs/>
          <w:sz w:val="24"/>
          <w:szCs w:val="24"/>
          <w:lang w:val="en-US"/>
        </w:rPr>
        <w:t>Important participants and users:</w:t>
      </w:r>
      <w:r w:rsidR="007D6EB5" w:rsidRPr="007D6EB5">
        <w:rPr>
          <w:rFonts w:ascii="Times New Roman" w:hAnsi="Times New Roman" w:cs="Times New Roman"/>
          <w:sz w:val="24"/>
          <w:szCs w:val="24"/>
          <w:lang w:val="en-US"/>
        </w:rPr>
        <w:t xml:space="preserve"> </w:t>
      </w:r>
      <w:r w:rsidR="007D6EB5" w:rsidRPr="00167048">
        <w:rPr>
          <w:rFonts w:ascii="Times New Roman" w:hAnsi="Times New Roman" w:cs="Times New Roman"/>
          <w:sz w:val="24"/>
          <w:szCs w:val="24"/>
          <w:lang w:val="en-US"/>
        </w:rPr>
        <w:t xml:space="preserve">The main participants were the Ministry of Agriculture of Lithuania, </w:t>
      </w:r>
      <w:r w:rsidR="007D6EB5">
        <w:rPr>
          <w:rFonts w:ascii="Times New Roman" w:hAnsi="Times New Roman" w:cs="Times New Roman"/>
          <w:sz w:val="24"/>
          <w:szCs w:val="24"/>
          <w:lang w:val="en-US"/>
        </w:rPr>
        <w:t xml:space="preserve">National (CAP) Paying Agency, independent </w:t>
      </w:r>
      <w:r w:rsidR="007E3370" w:rsidRPr="00167048">
        <w:rPr>
          <w:rFonts w:ascii="Times New Roman" w:hAnsi="Times New Roman" w:cs="Times New Roman"/>
          <w:sz w:val="24"/>
          <w:szCs w:val="24"/>
          <w:lang w:val="en-US"/>
        </w:rPr>
        <w:t>consultants,</w:t>
      </w:r>
      <w:r w:rsidR="007D6EB5" w:rsidRPr="00167048">
        <w:rPr>
          <w:rFonts w:ascii="Times New Roman" w:hAnsi="Times New Roman" w:cs="Times New Roman"/>
          <w:sz w:val="24"/>
          <w:szCs w:val="24"/>
          <w:lang w:val="en-US"/>
        </w:rPr>
        <w:t xml:space="preserve"> and the community of farmers themselves. These entities provided both financial support and practical assistance needed for the implementation of solar power projects. The beneficiaries were farmers, who were helped by this practice to reduce energy costs and contribute to the country's sustainability goals.</w:t>
      </w:r>
    </w:p>
    <w:p w14:paraId="1A65758C" w14:textId="7B4D0E10" w:rsidR="008073AA" w:rsidRDefault="008073AA" w:rsidP="008073AA">
      <w:pPr>
        <w:rPr>
          <w:rFonts w:ascii="Times New Roman" w:hAnsi="Times New Roman" w:cs="Times New Roman"/>
          <w:sz w:val="24"/>
          <w:szCs w:val="24"/>
          <w:lang w:val="en-US"/>
        </w:rPr>
      </w:pPr>
      <w:r w:rsidRPr="00A17FE1">
        <w:rPr>
          <w:rFonts w:ascii="Times New Roman" w:hAnsi="Times New Roman" w:cs="Times New Roman"/>
          <w:b/>
          <w:bCs/>
          <w:sz w:val="24"/>
          <w:szCs w:val="24"/>
          <w:lang w:val="en-US"/>
        </w:rPr>
        <w:t>Timescale (start/end date):</w:t>
      </w:r>
      <w:r w:rsidRPr="00A17FE1">
        <w:rPr>
          <w:rFonts w:ascii="Times New Roman" w:hAnsi="Times New Roman" w:cs="Times New Roman"/>
          <w:sz w:val="24"/>
          <w:szCs w:val="24"/>
          <w:lang w:val="en-US"/>
        </w:rPr>
        <w:t xml:space="preserve"> </w:t>
      </w:r>
    </w:p>
    <w:p w14:paraId="29E74122" w14:textId="27BA7052" w:rsidR="00442887" w:rsidRPr="00A17FE1" w:rsidRDefault="00442887" w:rsidP="008073AA">
      <w:pPr>
        <w:rPr>
          <w:rFonts w:ascii="Times New Roman" w:hAnsi="Times New Roman" w:cs="Times New Roman"/>
          <w:sz w:val="24"/>
          <w:szCs w:val="24"/>
          <w:lang w:val="en-US"/>
        </w:rPr>
      </w:pPr>
      <w:r>
        <w:rPr>
          <w:rFonts w:ascii="Times New Roman" w:hAnsi="Times New Roman" w:cs="Times New Roman"/>
          <w:sz w:val="24"/>
          <w:szCs w:val="24"/>
          <w:lang w:val="en-US"/>
        </w:rPr>
        <w:t>2023-2027</w:t>
      </w:r>
    </w:p>
    <w:p w14:paraId="415B4151" w14:textId="562185E8" w:rsidR="008073AA" w:rsidRPr="00A17FE1" w:rsidRDefault="008073AA" w:rsidP="008073AA">
      <w:pPr>
        <w:rPr>
          <w:rFonts w:ascii="Times New Roman" w:hAnsi="Times New Roman" w:cs="Times New Roman"/>
          <w:sz w:val="24"/>
          <w:szCs w:val="24"/>
          <w:lang w:val="en-US"/>
        </w:rPr>
      </w:pPr>
      <w:r w:rsidRPr="00A17FE1">
        <w:rPr>
          <w:rFonts w:ascii="Times New Roman" w:hAnsi="Times New Roman" w:cs="Times New Roman"/>
          <w:b/>
          <w:bCs/>
          <w:sz w:val="24"/>
          <w:szCs w:val="24"/>
          <w:lang w:val="en-US"/>
        </w:rPr>
        <w:t>Resources needed:</w:t>
      </w:r>
      <w:r w:rsidRPr="00A17FE1">
        <w:rPr>
          <w:rFonts w:ascii="Times New Roman" w:hAnsi="Times New Roman" w:cs="Times New Roman"/>
          <w:sz w:val="24"/>
          <w:szCs w:val="24"/>
          <w:lang w:val="en-US"/>
        </w:rPr>
        <w:t xml:space="preserve"> Policy changes were necessary to allow dual land use under</w:t>
      </w:r>
      <w:r w:rsidR="00442887">
        <w:rPr>
          <w:rFonts w:ascii="Times New Roman" w:hAnsi="Times New Roman" w:cs="Times New Roman"/>
          <w:sz w:val="24"/>
          <w:szCs w:val="24"/>
          <w:lang w:val="en-US"/>
        </w:rPr>
        <w:t>.</w:t>
      </w:r>
    </w:p>
    <w:p w14:paraId="64E5A8E0" w14:textId="25FB5974" w:rsidR="008073AA" w:rsidRPr="00A17FE1" w:rsidRDefault="008073AA" w:rsidP="008073AA">
      <w:pPr>
        <w:rPr>
          <w:rFonts w:ascii="Times New Roman" w:hAnsi="Times New Roman" w:cs="Times New Roman"/>
          <w:sz w:val="24"/>
          <w:szCs w:val="24"/>
          <w:lang w:val="en-US"/>
        </w:rPr>
      </w:pPr>
      <w:r w:rsidRPr="00A17FE1">
        <w:rPr>
          <w:rFonts w:ascii="Times New Roman" w:hAnsi="Times New Roman" w:cs="Times New Roman"/>
          <w:b/>
          <w:bCs/>
          <w:sz w:val="24"/>
          <w:szCs w:val="24"/>
          <w:lang w:val="en-US"/>
        </w:rPr>
        <w:t>Evidence of success (results achieved):</w:t>
      </w:r>
      <w:r w:rsidRPr="00A17FE1">
        <w:rPr>
          <w:rFonts w:ascii="Times New Roman" w:hAnsi="Times New Roman" w:cs="Times New Roman"/>
          <w:sz w:val="24"/>
          <w:szCs w:val="24"/>
          <w:lang w:val="en-US"/>
        </w:rPr>
        <w:t xml:space="preserve"> </w:t>
      </w:r>
      <w:r w:rsidR="00F47C71">
        <w:rPr>
          <w:rFonts w:ascii="Times New Roman" w:hAnsi="Times New Roman" w:cs="Times New Roman"/>
          <w:sz w:val="24"/>
          <w:szCs w:val="24"/>
          <w:lang w:val="en-US"/>
        </w:rPr>
        <w:t>At least 500 farmers benefit from dual land use.</w:t>
      </w:r>
      <w:r w:rsidRPr="00A17FE1">
        <w:rPr>
          <w:rFonts w:ascii="Times New Roman" w:hAnsi="Times New Roman" w:cs="Times New Roman"/>
          <w:sz w:val="24"/>
          <w:szCs w:val="24"/>
          <w:lang w:val="en-US"/>
        </w:rPr>
        <w:t>:</w:t>
      </w:r>
    </w:p>
    <w:p w14:paraId="598C7B28" w14:textId="77777777" w:rsidR="008073AA" w:rsidRPr="00A17FE1" w:rsidRDefault="008073AA" w:rsidP="008073AA">
      <w:pPr>
        <w:numPr>
          <w:ilvl w:val="0"/>
          <w:numId w:val="3"/>
        </w:numPr>
        <w:rPr>
          <w:rFonts w:ascii="Times New Roman" w:hAnsi="Times New Roman" w:cs="Times New Roman"/>
          <w:sz w:val="24"/>
          <w:szCs w:val="24"/>
          <w:lang w:val="en-US"/>
        </w:rPr>
      </w:pPr>
      <w:r w:rsidRPr="00A17FE1">
        <w:rPr>
          <w:rFonts w:ascii="Times New Roman" w:hAnsi="Times New Roman" w:cs="Times New Roman"/>
          <w:b/>
          <w:bCs/>
          <w:sz w:val="24"/>
          <w:szCs w:val="24"/>
          <w:lang w:val="en-US"/>
        </w:rPr>
        <w:t>Ecological impact:</w:t>
      </w:r>
      <w:r w:rsidRPr="00A17FE1">
        <w:rPr>
          <w:rFonts w:ascii="Times New Roman" w:hAnsi="Times New Roman" w:cs="Times New Roman"/>
          <w:sz w:val="24"/>
          <w:szCs w:val="24"/>
          <w:lang w:val="en-US"/>
        </w:rPr>
        <w:t xml:space="preserve"> Grasslands with solar power installations continue serving as habitats for various species, contributing to biodiversity.</w:t>
      </w:r>
    </w:p>
    <w:p w14:paraId="7D5D88F1" w14:textId="77777777" w:rsidR="008073AA" w:rsidRPr="00A17FE1" w:rsidRDefault="008073AA" w:rsidP="008073AA">
      <w:pPr>
        <w:numPr>
          <w:ilvl w:val="0"/>
          <w:numId w:val="3"/>
        </w:numPr>
        <w:rPr>
          <w:rFonts w:ascii="Times New Roman" w:hAnsi="Times New Roman" w:cs="Times New Roman"/>
          <w:sz w:val="24"/>
          <w:szCs w:val="24"/>
          <w:lang w:val="en-US"/>
        </w:rPr>
      </w:pPr>
      <w:r w:rsidRPr="00A17FE1">
        <w:rPr>
          <w:rFonts w:ascii="Times New Roman" w:hAnsi="Times New Roman" w:cs="Times New Roman"/>
          <w:b/>
          <w:bCs/>
          <w:sz w:val="24"/>
          <w:szCs w:val="24"/>
          <w:lang w:val="en-US"/>
        </w:rPr>
        <w:lastRenderedPageBreak/>
        <w:t>Economic impact:</w:t>
      </w:r>
      <w:r w:rsidRPr="00A17FE1">
        <w:rPr>
          <w:rFonts w:ascii="Times New Roman" w:hAnsi="Times New Roman" w:cs="Times New Roman"/>
          <w:sz w:val="24"/>
          <w:szCs w:val="24"/>
          <w:lang w:val="en-US"/>
        </w:rPr>
        <w:t xml:space="preserve"> Farmers benefit from diversified income through agricultural payments and solar energy production profits.</w:t>
      </w:r>
    </w:p>
    <w:p w14:paraId="085B7679" w14:textId="77777777" w:rsidR="008073AA" w:rsidRPr="00A17FE1" w:rsidRDefault="008073AA" w:rsidP="008073AA">
      <w:pPr>
        <w:numPr>
          <w:ilvl w:val="0"/>
          <w:numId w:val="3"/>
        </w:numPr>
        <w:rPr>
          <w:rFonts w:ascii="Times New Roman" w:hAnsi="Times New Roman" w:cs="Times New Roman"/>
          <w:sz w:val="24"/>
          <w:szCs w:val="24"/>
          <w:lang w:val="en-US"/>
        </w:rPr>
      </w:pPr>
      <w:r w:rsidRPr="00A17FE1">
        <w:rPr>
          <w:rFonts w:ascii="Times New Roman" w:hAnsi="Times New Roman" w:cs="Times New Roman"/>
          <w:b/>
          <w:bCs/>
          <w:sz w:val="24"/>
          <w:szCs w:val="24"/>
          <w:lang w:val="en-US"/>
        </w:rPr>
        <w:t>Environmental impact:</w:t>
      </w:r>
      <w:r w:rsidRPr="00A17FE1">
        <w:rPr>
          <w:rFonts w:ascii="Times New Roman" w:hAnsi="Times New Roman" w:cs="Times New Roman"/>
          <w:sz w:val="24"/>
          <w:szCs w:val="24"/>
          <w:lang w:val="en-US"/>
        </w:rPr>
        <w:t xml:space="preserve"> This practice aids in reducing CO2 emissions and contributes to the European Green Deal goals by encouraging clean energy adoption and reduced fossil fuel dependence.</w:t>
      </w:r>
    </w:p>
    <w:p w14:paraId="37DCA93E" w14:textId="77777777" w:rsidR="008073AA" w:rsidRPr="00A17FE1" w:rsidRDefault="008073AA" w:rsidP="008073AA">
      <w:pPr>
        <w:rPr>
          <w:rFonts w:ascii="Times New Roman" w:hAnsi="Times New Roman" w:cs="Times New Roman"/>
          <w:sz w:val="24"/>
          <w:szCs w:val="24"/>
          <w:lang w:val="en-US"/>
        </w:rPr>
      </w:pPr>
      <w:r w:rsidRPr="00A17FE1">
        <w:rPr>
          <w:rFonts w:ascii="Times New Roman" w:hAnsi="Times New Roman" w:cs="Times New Roman"/>
          <w:b/>
          <w:bCs/>
          <w:sz w:val="24"/>
          <w:szCs w:val="24"/>
          <w:lang w:val="en-US"/>
        </w:rPr>
        <w:t>Potential for learning or transfer:</w:t>
      </w:r>
      <w:r w:rsidRPr="00A17FE1">
        <w:rPr>
          <w:rFonts w:ascii="Times New Roman" w:hAnsi="Times New Roman" w:cs="Times New Roman"/>
          <w:sz w:val="24"/>
          <w:szCs w:val="24"/>
          <w:lang w:val="en-US"/>
        </w:rPr>
        <w:t xml:space="preserve"> This practice serves as an example for other EU countries aiming to combine renewable energy and ecological land use. Lithuania's experience has been shared with Latvia and Estonia, which have adapted similar initiatives. This model could benefit regions where agricultural and energy sectors intersect.</w:t>
      </w:r>
    </w:p>
    <w:p w14:paraId="27558C96" w14:textId="77777777" w:rsidR="008073AA" w:rsidRPr="00A17FE1" w:rsidRDefault="008073AA" w:rsidP="008073AA">
      <w:pPr>
        <w:rPr>
          <w:rFonts w:ascii="Times New Roman" w:hAnsi="Times New Roman" w:cs="Times New Roman"/>
          <w:sz w:val="24"/>
          <w:szCs w:val="24"/>
          <w:lang w:val="en-US"/>
        </w:rPr>
      </w:pPr>
      <w:r w:rsidRPr="00A17FE1">
        <w:rPr>
          <w:rFonts w:ascii="Times New Roman" w:hAnsi="Times New Roman" w:cs="Times New Roman"/>
          <w:b/>
          <w:bCs/>
          <w:sz w:val="24"/>
          <w:szCs w:val="24"/>
          <w:lang w:val="en-US"/>
        </w:rPr>
        <w:t>Key success factors:</w:t>
      </w:r>
    </w:p>
    <w:p w14:paraId="17FF20E6" w14:textId="77777777" w:rsidR="008073AA" w:rsidRPr="00A17FE1" w:rsidRDefault="008073AA" w:rsidP="008073AA">
      <w:pPr>
        <w:numPr>
          <w:ilvl w:val="0"/>
          <w:numId w:val="4"/>
        </w:numPr>
        <w:rPr>
          <w:rFonts w:ascii="Times New Roman" w:hAnsi="Times New Roman" w:cs="Times New Roman"/>
          <w:sz w:val="24"/>
          <w:szCs w:val="24"/>
          <w:lang w:val="en-US"/>
        </w:rPr>
      </w:pPr>
      <w:r w:rsidRPr="00A17FE1">
        <w:rPr>
          <w:rFonts w:ascii="Times New Roman" w:hAnsi="Times New Roman" w:cs="Times New Roman"/>
          <w:sz w:val="24"/>
          <w:szCs w:val="24"/>
          <w:lang w:val="en-US"/>
        </w:rPr>
        <w:t>Clear and transparent rules enabling farmers to assess opportunities and conditions.</w:t>
      </w:r>
    </w:p>
    <w:p w14:paraId="319DD931" w14:textId="77777777" w:rsidR="008073AA" w:rsidRPr="00A17FE1" w:rsidRDefault="008073AA" w:rsidP="008073AA">
      <w:pPr>
        <w:numPr>
          <w:ilvl w:val="0"/>
          <w:numId w:val="4"/>
        </w:numPr>
        <w:rPr>
          <w:rFonts w:ascii="Times New Roman" w:hAnsi="Times New Roman" w:cs="Times New Roman"/>
          <w:sz w:val="24"/>
          <w:szCs w:val="24"/>
          <w:lang w:val="en-US"/>
        </w:rPr>
      </w:pPr>
      <w:r w:rsidRPr="00A17FE1">
        <w:rPr>
          <w:rFonts w:ascii="Times New Roman" w:hAnsi="Times New Roman" w:cs="Times New Roman"/>
          <w:sz w:val="24"/>
          <w:szCs w:val="24"/>
          <w:lang w:val="en-US"/>
        </w:rPr>
        <w:t>A robust consultation and support system for farmers to ensure effective participation.</w:t>
      </w:r>
    </w:p>
    <w:p w14:paraId="0FA20B24" w14:textId="77777777" w:rsidR="008073AA" w:rsidRPr="00A17FE1" w:rsidRDefault="008073AA" w:rsidP="008073AA">
      <w:pPr>
        <w:numPr>
          <w:ilvl w:val="0"/>
          <w:numId w:val="4"/>
        </w:numPr>
        <w:rPr>
          <w:rFonts w:ascii="Times New Roman" w:hAnsi="Times New Roman" w:cs="Times New Roman"/>
          <w:sz w:val="24"/>
          <w:szCs w:val="24"/>
          <w:lang w:val="en-US"/>
        </w:rPr>
      </w:pPr>
      <w:r w:rsidRPr="00A17FE1">
        <w:rPr>
          <w:rFonts w:ascii="Times New Roman" w:hAnsi="Times New Roman" w:cs="Times New Roman"/>
          <w:sz w:val="24"/>
          <w:szCs w:val="24"/>
          <w:lang w:val="en-US"/>
        </w:rPr>
        <w:t>A focus on sustainable land use, balancing ecological and economic goals.</w:t>
      </w:r>
    </w:p>
    <w:p w14:paraId="650B14C7" w14:textId="75290376" w:rsidR="00870B09" w:rsidRPr="00A17FE1" w:rsidRDefault="00870B09" w:rsidP="00870B09">
      <w:pPr>
        <w:rPr>
          <w:rFonts w:ascii="Times New Roman" w:hAnsi="Times New Roman" w:cs="Times New Roman"/>
          <w:sz w:val="24"/>
          <w:szCs w:val="24"/>
          <w:lang w:val="en-US"/>
        </w:rPr>
      </w:pPr>
    </w:p>
    <w:p w14:paraId="4176B8A8" w14:textId="450C1E37" w:rsidR="00870B09" w:rsidRPr="008073AA" w:rsidRDefault="00870B09" w:rsidP="00870B09">
      <w:pPr>
        <w:rPr>
          <w:rFonts w:ascii="Times New Roman" w:hAnsi="Times New Roman" w:cs="Times New Roman"/>
          <w:b/>
          <w:bCs/>
          <w:sz w:val="24"/>
          <w:szCs w:val="24"/>
          <w:lang w:val="en-US"/>
        </w:rPr>
      </w:pPr>
      <w:r w:rsidRPr="008073AA">
        <w:rPr>
          <w:rFonts w:ascii="Times New Roman" w:hAnsi="Times New Roman" w:cs="Times New Roman"/>
          <w:b/>
          <w:bCs/>
          <w:sz w:val="24"/>
          <w:szCs w:val="24"/>
          <w:lang w:val="en-US"/>
        </w:rPr>
        <w:t xml:space="preserve">Links: </w:t>
      </w:r>
    </w:p>
    <w:p w14:paraId="3C5D58AB" w14:textId="77777777" w:rsidR="00870B09" w:rsidRPr="008073AA" w:rsidRDefault="00870B09" w:rsidP="00870B09">
      <w:pPr>
        <w:numPr>
          <w:ilvl w:val="0"/>
          <w:numId w:val="1"/>
        </w:numPr>
        <w:spacing w:before="100" w:beforeAutospacing="1" w:after="100" w:afterAutospacing="1" w:line="240" w:lineRule="auto"/>
        <w:rPr>
          <w:lang w:val="en-US"/>
        </w:rPr>
      </w:pPr>
      <w:r w:rsidRPr="008073AA">
        <w:rPr>
          <w:rStyle w:val="Strong"/>
          <w:lang w:val="en-US"/>
        </w:rPr>
        <w:t xml:space="preserve">Lietuvos </w:t>
      </w:r>
      <w:proofErr w:type="spellStart"/>
      <w:r w:rsidRPr="008073AA">
        <w:rPr>
          <w:rStyle w:val="Strong"/>
          <w:lang w:val="en-US"/>
        </w:rPr>
        <w:t>žemės</w:t>
      </w:r>
      <w:proofErr w:type="spellEnd"/>
      <w:r w:rsidRPr="008073AA">
        <w:rPr>
          <w:rStyle w:val="Strong"/>
          <w:lang w:val="en-US"/>
        </w:rPr>
        <w:t xml:space="preserve"> </w:t>
      </w:r>
      <w:proofErr w:type="spellStart"/>
      <w:r w:rsidRPr="008073AA">
        <w:rPr>
          <w:rStyle w:val="Strong"/>
          <w:lang w:val="en-US"/>
        </w:rPr>
        <w:t>ūkio</w:t>
      </w:r>
      <w:proofErr w:type="spellEnd"/>
      <w:r w:rsidRPr="008073AA">
        <w:rPr>
          <w:rStyle w:val="Strong"/>
          <w:lang w:val="en-US"/>
        </w:rPr>
        <w:t xml:space="preserve"> </w:t>
      </w:r>
      <w:proofErr w:type="spellStart"/>
      <w:r w:rsidRPr="008073AA">
        <w:rPr>
          <w:rStyle w:val="Strong"/>
          <w:lang w:val="en-US"/>
        </w:rPr>
        <w:t>ministerija</w:t>
      </w:r>
      <w:proofErr w:type="spellEnd"/>
      <w:r w:rsidRPr="008073AA">
        <w:rPr>
          <w:lang w:val="en-US"/>
        </w:rPr>
        <w:t xml:space="preserve">: </w:t>
      </w:r>
      <w:hyperlink r:id="rId5" w:tgtFrame="_new" w:history="1">
        <w:r w:rsidRPr="008073AA">
          <w:rPr>
            <w:rStyle w:val="Hyperlink"/>
            <w:lang w:val="en-US"/>
          </w:rPr>
          <w:t>www.zum.lt</w:t>
        </w:r>
      </w:hyperlink>
    </w:p>
    <w:p w14:paraId="641F6AB1" w14:textId="77777777" w:rsidR="00870B09" w:rsidRPr="008073AA" w:rsidRDefault="00870B09" w:rsidP="00870B09">
      <w:pPr>
        <w:numPr>
          <w:ilvl w:val="0"/>
          <w:numId w:val="1"/>
        </w:numPr>
        <w:spacing w:before="100" w:beforeAutospacing="1" w:after="100" w:afterAutospacing="1" w:line="240" w:lineRule="auto"/>
        <w:rPr>
          <w:lang w:val="en-US"/>
        </w:rPr>
      </w:pPr>
      <w:proofErr w:type="spellStart"/>
      <w:r w:rsidRPr="008073AA">
        <w:rPr>
          <w:rStyle w:val="Strong"/>
          <w:lang w:val="en-US"/>
        </w:rPr>
        <w:t>Kaimo</w:t>
      </w:r>
      <w:proofErr w:type="spellEnd"/>
      <w:r w:rsidRPr="008073AA">
        <w:rPr>
          <w:rStyle w:val="Strong"/>
          <w:lang w:val="en-US"/>
        </w:rPr>
        <w:t xml:space="preserve"> </w:t>
      </w:r>
      <w:proofErr w:type="spellStart"/>
      <w:r w:rsidRPr="008073AA">
        <w:rPr>
          <w:rStyle w:val="Strong"/>
          <w:lang w:val="en-US"/>
        </w:rPr>
        <w:t>plėtros</w:t>
      </w:r>
      <w:proofErr w:type="spellEnd"/>
      <w:r w:rsidRPr="008073AA">
        <w:rPr>
          <w:rStyle w:val="Strong"/>
          <w:lang w:val="en-US"/>
        </w:rPr>
        <w:t xml:space="preserve"> </w:t>
      </w:r>
      <w:proofErr w:type="spellStart"/>
      <w:r w:rsidRPr="008073AA">
        <w:rPr>
          <w:rStyle w:val="Strong"/>
          <w:lang w:val="en-US"/>
        </w:rPr>
        <w:t>programa</w:t>
      </w:r>
      <w:proofErr w:type="spellEnd"/>
      <w:r w:rsidRPr="008073AA">
        <w:rPr>
          <w:rStyle w:val="Strong"/>
          <w:lang w:val="en-US"/>
        </w:rPr>
        <w:t xml:space="preserve"> 2021–2027</w:t>
      </w:r>
      <w:r w:rsidRPr="008073AA">
        <w:rPr>
          <w:lang w:val="en-US"/>
        </w:rPr>
        <w:t xml:space="preserve">: </w:t>
      </w:r>
      <w:hyperlink r:id="rId6" w:tgtFrame="_new" w:history="1">
        <w:r w:rsidRPr="008073AA">
          <w:rPr>
            <w:rStyle w:val="Hyperlink"/>
            <w:lang w:val="en-US"/>
          </w:rPr>
          <w:t>www.nma.lt</w:t>
        </w:r>
      </w:hyperlink>
    </w:p>
    <w:p w14:paraId="244CE896" w14:textId="77777777" w:rsidR="00870B09" w:rsidRPr="008073AA" w:rsidRDefault="00870B09" w:rsidP="00870B09">
      <w:pPr>
        <w:numPr>
          <w:ilvl w:val="0"/>
          <w:numId w:val="1"/>
        </w:numPr>
        <w:spacing w:before="100" w:beforeAutospacing="1" w:after="100" w:afterAutospacing="1" w:line="240" w:lineRule="auto"/>
        <w:rPr>
          <w:lang w:val="en-US"/>
        </w:rPr>
      </w:pPr>
      <w:r w:rsidRPr="008073AA">
        <w:rPr>
          <w:rStyle w:val="Strong"/>
          <w:lang w:val="en-US"/>
        </w:rPr>
        <w:t xml:space="preserve">Europos </w:t>
      </w:r>
      <w:proofErr w:type="spellStart"/>
      <w:r w:rsidRPr="008073AA">
        <w:rPr>
          <w:rStyle w:val="Strong"/>
          <w:lang w:val="en-US"/>
        </w:rPr>
        <w:t>Komisija</w:t>
      </w:r>
      <w:proofErr w:type="spellEnd"/>
      <w:r w:rsidRPr="008073AA">
        <w:rPr>
          <w:rStyle w:val="Strong"/>
          <w:lang w:val="en-US"/>
        </w:rPr>
        <w:t xml:space="preserve"> – </w:t>
      </w:r>
      <w:proofErr w:type="spellStart"/>
      <w:r w:rsidRPr="008073AA">
        <w:rPr>
          <w:rStyle w:val="Strong"/>
          <w:lang w:val="en-US"/>
        </w:rPr>
        <w:t>Kaimo</w:t>
      </w:r>
      <w:proofErr w:type="spellEnd"/>
      <w:r w:rsidRPr="008073AA">
        <w:rPr>
          <w:rStyle w:val="Strong"/>
          <w:lang w:val="en-US"/>
        </w:rPr>
        <w:t xml:space="preserve"> </w:t>
      </w:r>
      <w:proofErr w:type="spellStart"/>
      <w:r w:rsidRPr="008073AA">
        <w:rPr>
          <w:rStyle w:val="Strong"/>
          <w:lang w:val="en-US"/>
        </w:rPr>
        <w:t>plėtros</w:t>
      </w:r>
      <w:proofErr w:type="spellEnd"/>
      <w:r w:rsidRPr="008073AA">
        <w:rPr>
          <w:rStyle w:val="Strong"/>
          <w:lang w:val="en-US"/>
        </w:rPr>
        <w:t xml:space="preserve"> </w:t>
      </w:r>
      <w:proofErr w:type="spellStart"/>
      <w:r w:rsidRPr="008073AA">
        <w:rPr>
          <w:rStyle w:val="Strong"/>
          <w:lang w:val="en-US"/>
        </w:rPr>
        <w:t>fondo</w:t>
      </w:r>
      <w:proofErr w:type="spellEnd"/>
      <w:r w:rsidRPr="008073AA">
        <w:rPr>
          <w:rStyle w:val="Strong"/>
          <w:lang w:val="en-US"/>
        </w:rPr>
        <w:t xml:space="preserve"> </w:t>
      </w:r>
      <w:proofErr w:type="spellStart"/>
      <w:r w:rsidRPr="008073AA">
        <w:rPr>
          <w:rStyle w:val="Strong"/>
          <w:lang w:val="en-US"/>
        </w:rPr>
        <w:t>dokumentai</w:t>
      </w:r>
      <w:proofErr w:type="spellEnd"/>
      <w:r w:rsidRPr="008073AA">
        <w:rPr>
          <w:lang w:val="en-US"/>
        </w:rPr>
        <w:t xml:space="preserve">: </w:t>
      </w:r>
      <w:hyperlink r:id="rId7" w:tgtFrame="_new" w:history="1">
        <w:r w:rsidRPr="008073AA">
          <w:rPr>
            <w:rStyle w:val="Hyperlink"/>
            <w:lang w:val="en-US"/>
          </w:rPr>
          <w:t>ec.europa.eu</w:t>
        </w:r>
      </w:hyperlink>
    </w:p>
    <w:p w14:paraId="7CEFFEA4" w14:textId="77777777" w:rsidR="00870B09" w:rsidRPr="00870B09" w:rsidRDefault="00870B09" w:rsidP="00870B09">
      <w:pPr>
        <w:rPr>
          <w:rFonts w:ascii="Times New Roman" w:hAnsi="Times New Roman" w:cs="Times New Roman"/>
          <w:sz w:val="24"/>
          <w:szCs w:val="24"/>
          <w:lang w:val="en-US"/>
        </w:rPr>
      </w:pPr>
    </w:p>
    <w:sectPr w:rsidR="00870B09" w:rsidRPr="00870B0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17FCB"/>
    <w:multiLevelType w:val="multilevel"/>
    <w:tmpl w:val="3A72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43CF7"/>
    <w:multiLevelType w:val="multilevel"/>
    <w:tmpl w:val="1170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CB39EB"/>
    <w:multiLevelType w:val="multilevel"/>
    <w:tmpl w:val="3A72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9F02AB"/>
    <w:multiLevelType w:val="multilevel"/>
    <w:tmpl w:val="3A72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09"/>
    <w:rsid w:val="00131F63"/>
    <w:rsid w:val="001D5F3F"/>
    <w:rsid w:val="001E33C9"/>
    <w:rsid w:val="003906EC"/>
    <w:rsid w:val="00442887"/>
    <w:rsid w:val="00594F52"/>
    <w:rsid w:val="007D6EB5"/>
    <w:rsid w:val="007E3370"/>
    <w:rsid w:val="008073AA"/>
    <w:rsid w:val="00812708"/>
    <w:rsid w:val="00870B09"/>
    <w:rsid w:val="0097563E"/>
    <w:rsid w:val="00A1720F"/>
    <w:rsid w:val="00A17FE1"/>
    <w:rsid w:val="00AC0321"/>
    <w:rsid w:val="00AD38B9"/>
    <w:rsid w:val="00C12EB4"/>
    <w:rsid w:val="00D5197D"/>
    <w:rsid w:val="00D711A4"/>
    <w:rsid w:val="00D83083"/>
    <w:rsid w:val="00F47C71"/>
    <w:rsid w:val="00F501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026E"/>
  <w15:chartTrackingRefBased/>
  <w15:docId w15:val="{166EF0C4-ECB6-470E-86F0-9E1D6BD9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0B09"/>
    <w:rPr>
      <w:b/>
      <w:bCs/>
    </w:rPr>
  </w:style>
  <w:style w:type="character" w:styleId="Hyperlink">
    <w:name w:val="Hyperlink"/>
    <w:basedOn w:val="DefaultParagraphFont"/>
    <w:uiPriority w:val="99"/>
    <w:semiHidden/>
    <w:unhideWhenUsed/>
    <w:rsid w:val="00870B09"/>
    <w:rPr>
      <w:color w:val="0000FF"/>
      <w:u w:val="single"/>
    </w:rPr>
  </w:style>
  <w:style w:type="paragraph" w:styleId="BalloonText">
    <w:name w:val="Balloon Text"/>
    <w:basedOn w:val="Normal"/>
    <w:link w:val="BalloonTextChar"/>
    <w:uiPriority w:val="99"/>
    <w:semiHidden/>
    <w:unhideWhenUsed/>
    <w:rsid w:val="001E3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3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66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ma.lt" TargetMode="External"/><Relationship Id="rId5" Type="http://schemas.openxmlformats.org/officeDocument/2006/relationships/hyperlink" Target="https://www.zum.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1038</TotalTime>
  <Pages>2</Pages>
  <Words>2621</Words>
  <Characters>1494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Nacionaline mokejimo agentura prie ZUM</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Audrius Pravdzinskas</dc:creator>
  <cp:keywords/>
  <dc:description/>
  <cp:lastModifiedBy>Audrius Pravdzinskas</cp:lastModifiedBy>
  <cp:revision>23</cp:revision>
  <dcterms:created xsi:type="dcterms:W3CDTF">2025-03-17T06:37:00Z</dcterms:created>
  <dcterms:modified xsi:type="dcterms:W3CDTF">2025-03-21T14:41:00Z</dcterms:modified>
</cp:coreProperties>
</file>