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ED39" w14:textId="77777777" w:rsidR="005154DB" w:rsidRDefault="00D3286A">
      <w:pPr>
        <w:pStyle w:val="Title"/>
        <w:rPr>
          <w:rFonts w:ascii="Arial" w:hAnsi="Arial" w:cs="Arial"/>
          <w:sz w:val="32"/>
          <w:szCs w:val="32"/>
          <w:lang w:val="en-GB"/>
        </w:rPr>
      </w:pPr>
      <w:r w:rsidRPr="002927A1">
        <w:rPr>
          <w:rFonts w:ascii="Arial" w:hAnsi="Arial" w:cs="Arial"/>
          <w:sz w:val="32"/>
          <w:szCs w:val="32"/>
          <w:lang w:val="en-GB"/>
        </w:rPr>
        <w:t xml:space="preserve">Good Practice </w:t>
      </w:r>
      <w:r w:rsidR="00F25A72">
        <w:rPr>
          <w:rFonts w:ascii="Arial" w:hAnsi="Arial" w:cs="Arial"/>
          <w:sz w:val="32"/>
          <w:szCs w:val="32"/>
          <w:lang w:val="en-GB"/>
        </w:rPr>
        <w:t>template</w:t>
      </w:r>
    </w:p>
    <w:p w14:paraId="3B9F9958" w14:textId="77777777" w:rsidR="00F25A72" w:rsidRPr="002927A1" w:rsidRDefault="00F25A72">
      <w:pPr>
        <w:pStyle w:val="Title"/>
        <w:rPr>
          <w:rFonts w:ascii="Arial" w:hAnsi="Arial" w:cs="Arial"/>
          <w:sz w:val="32"/>
          <w:szCs w:val="32"/>
          <w:lang w:val="en-GB"/>
        </w:rPr>
      </w:pPr>
    </w:p>
    <w:p w14:paraId="74CAA58C" w14:textId="77777777" w:rsidR="00F25A72" w:rsidRPr="008C6DD1" w:rsidRDefault="00F25A72" w:rsidP="006C4AE4">
      <w:pPr>
        <w:pStyle w:val="ListParagraph"/>
        <w:numPr>
          <w:ilvl w:val="0"/>
          <w:numId w:val="17"/>
        </w:numPr>
        <w:jc w:val="both"/>
        <w:rPr>
          <w:rFonts w:ascii="Arial" w:hAnsi="Arial" w:cs="Arial"/>
          <w:lang w:val="en-GB"/>
        </w:rPr>
      </w:pPr>
      <w:r w:rsidRPr="008C6DD1">
        <w:rPr>
          <w:rFonts w:ascii="Arial" w:hAnsi="Arial" w:cs="Arial"/>
          <w:lang w:val="en-GB"/>
        </w:rPr>
        <w:t xml:space="preserve">In order to submit a practice, you will have to register in the Interreg Europe </w:t>
      </w:r>
      <w:r w:rsidR="00D04F32">
        <w:rPr>
          <w:rFonts w:ascii="Arial" w:hAnsi="Arial" w:cs="Arial"/>
          <w:lang w:val="en-GB"/>
        </w:rPr>
        <w:t xml:space="preserve">website. </w:t>
      </w:r>
      <w:r w:rsidR="00357EF3">
        <w:rPr>
          <w:rFonts w:ascii="Arial" w:hAnsi="Arial" w:cs="Arial"/>
          <w:lang w:val="en-GB"/>
        </w:rPr>
        <w:t>You can submit your practice through your user dashboard</w:t>
      </w:r>
      <w:r w:rsidR="00934B8A">
        <w:rPr>
          <w:rFonts w:ascii="Arial" w:hAnsi="Arial" w:cs="Arial"/>
          <w:lang w:val="en-GB"/>
        </w:rPr>
        <w:t xml:space="preserve"> (‘Good practices’ tab)</w:t>
      </w:r>
      <w:r w:rsidR="00357EF3">
        <w:rPr>
          <w:rFonts w:ascii="Arial" w:hAnsi="Arial" w:cs="Arial"/>
          <w:lang w:val="en-GB"/>
        </w:rPr>
        <w:t>.</w:t>
      </w:r>
    </w:p>
    <w:p w14:paraId="1D3DF13C" w14:textId="77777777" w:rsidR="00660D5E" w:rsidRPr="00554368" w:rsidRDefault="00AC488B" w:rsidP="006C4AE4">
      <w:pPr>
        <w:pStyle w:val="ListParagraph"/>
        <w:numPr>
          <w:ilvl w:val="0"/>
          <w:numId w:val="17"/>
        </w:numPr>
        <w:jc w:val="both"/>
        <w:rPr>
          <w:rFonts w:ascii="Arial" w:hAnsi="Arial" w:cs="Arial"/>
          <w:lang w:val="en-GB"/>
        </w:rPr>
      </w:pPr>
      <w:r>
        <w:rPr>
          <w:rFonts w:ascii="Arial" w:hAnsi="Arial" w:cs="Arial"/>
          <w:lang w:val="en-GB"/>
        </w:rPr>
        <w:t xml:space="preserve">Optional fields are shown </w:t>
      </w:r>
      <w:r w:rsidR="00BB46EF" w:rsidRPr="00554368">
        <w:rPr>
          <w:rFonts w:ascii="Arial" w:hAnsi="Arial" w:cs="Arial"/>
          <w:lang w:val="en-GB"/>
        </w:rPr>
        <w:t xml:space="preserve">in </w:t>
      </w:r>
      <w:r w:rsidR="00BB46EF" w:rsidRPr="00554368">
        <w:rPr>
          <w:rFonts w:ascii="Arial" w:hAnsi="Arial" w:cs="Arial"/>
          <w:color w:val="ED7D31" w:themeColor="accent2"/>
          <w:lang w:val="en-GB"/>
        </w:rPr>
        <w:t>orange</w:t>
      </w:r>
      <w:r>
        <w:rPr>
          <w:rFonts w:ascii="Arial" w:hAnsi="Arial" w:cs="Arial"/>
          <w:lang w:val="en-GB"/>
        </w:rPr>
        <w:t xml:space="preserve">. </w:t>
      </w:r>
      <w:r w:rsidR="00894D6F" w:rsidRPr="00554368">
        <w:rPr>
          <w:rFonts w:ascii="Arial" w:hAnsi="Arial" w:cs="Arial"/>
          <w:lang w:val="en-GB"/>
        </w:rPr>
        <w:t>All other fields are compulsory</w:t>
      </w:r>
      <w:r w:rsidR="00B6753B">
        <w:rPr>
          <w:rFonts w:ascii="Arial" w:hAnsi="Arial" w:cs="Arial"/>
          <w:lang w:val="en-GB"/>
        </w:rPr>
        <w:t>.</w:t>
      </w:r>
    </w:p>
    <w:p w14:paraId="6C5C4A8F" w14:textId="77777777" w:rsidR="00D3286A" w:rsidRDefault="00D3286A">
      <w:pPr>
        <w:pStyle w:val="Title"/>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6E32409C" w14:textId="77777777" w:rsidTr="00AC488B">
        <w:trPr>
          <w:trHeight w:val="232"/>
        </w:trPr>
        <w:tc>
          <w:tcPr>
            <w:tcW w:w="9918" w:type="dxa"/>
            <w:gridSpan w:val="2"/>
            <w:shd w:val="clear" w:color="auto" w:fill="C5E0B3" w:themeFill="accent6" w:themeFillTint="66"/>
            <w:vAlign w:val="center"/>
          </w:tcPr>
          <w:p w14:paraId="2BA53FE5" w14:textId="77777777" w:rsidR="00AA35E0" w:rsidRDefault="00AA35E0" w:rsidP="00A04871">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information</w:t>
            </w:r>
          </w:p>
          <w:p w14:paraId="7D90F60D" w14:textId="77777777" w:rsidR="00AA35E0" w:rsidRDefault="00AA35E0" w:rsidP="00AA35E0">
            <w:pPr>
              <w:pStyle w:val="ListParagraph"/>
              <w:spacing w:before="60" w:after="60"/>
              <w:rPr>
                <w:rFonts w:ascii="Arial" w:eastAsia="Batang" w:hAnsi="Arial" w:cs="Arial"/>
                <w:b/>
                <w:bCs/>
                <w:sz w:val="20"/>
                <w:szCs w:val="20"/>
                <w:lang w:val="en-GB"/>
              </w:rPr>
            </w:pPr>
          </w:p>
          <w:p w14:paraId="3D3C43F6" w14:textId="77777777" w:rsidR="00AA35E0" w:rsidRDefault="00AA35E0" w:rsidP="00AA35E0">
            <w:pPr>
              <w:pStyle w:val="ListParagraph"/>
              <w:spacing w:before="60" w:after="60"/>
              <w:jc w:val="center"/>
              <w:rPr>
                <w:rFonts w:ascii="Arial" w:eastAsia="Batang" w:hAnsi="Arial" w:cs="Arial"/>
                <w:bCs/>
                <w:i/>
                <w:sz w:val="16"/>
                <w:szCs w:val="16"/>
                <w:lang w:val="en-GB"/>
              </w:rPr>
            </w:pPr>
            <w:r>
              <w:rPr>
                <w:rFonts w:ascii="Arial" w:eastAsia="Batang" w:hAnsi="Arial" w:cs="Arial"/>
                <w:bCs/>
                <w:i/>
                <w:sz w:val="16"/>
                <w:szCs w:val="16"/>
                <w:lang w:val="en-GB"/>
              </w:rPr>
              <w:t xml:space="preserve">[Technical: </w:t>
            </w:r>
            <w:r w:rsidRPr="00AA35E0">
              <w:rPr>
                <w:rFonts w:ascii="Arial" w:eastAsia="Batang" w:hAnsi="Arial" w:cs="Arial"/>
                <w:bCs/>
                <w:i/>
                <w:sz w:val="16"/>
                <w:szCs w:val="16"/>
                <w:lang w:val="en-GB"/>
              </w:rPr>
              <w:t xml:space="preserve">Contact information comes from your community profile. </w:t>
            </w:r>
            <w:r>
              <w:rPr>
                <w:rFonts w:ascii="Arial" w:eastAsia="Batang" w:hAnsi="Arial" w:cs="Arial"/>
                <w:bCs/>
                <w:i/>
                <w:sz w:val="16"/>
                <w:szCs w:val="16"/>
                <w:lang w:val="en-GB"/>
              </w:rPr>
              <w:t>You can edit it by</w:t>
            </w:r>
            <w:r w:rsidRPr="00AA35E0">
              <w:rPr>
                <w:rFonts w:ascii="Arial" w:eastAsia="Batang" w:hAnsi="Arial" w:cs="Arial"/>
                <w:bCs/>
                <w:i/>
                <w:sz w:val="16"/>
                <w:szCs w:val="16"/>
                <w:lang w:val="en-GB"/>
              </w:rPr>
              <w:t xml:space="preserve"> visit</w:t>
            </w:r>
            <w:r>
              <w:rPr>
                <w:rFonts w:ascii="Arial" w:eastAsia="Batang" w:hAnsi="Arial" w:cs="Arial"/>
                <w:bCs/>
                <w:i/>
                <w:sz w:val="16"/>
                <w:szCs w:val="16"/>
                <w:lang w:val="en-GB"/>
              </w:rPr>
              <w:t>ing</w:t>
            </w:r>
            <w:r w:rsidRPr="00AA35E0">
              <w:rPr>
                <w:rFonts w:ascii="Arial" w:eastAsia="Batang" w:hAnsi="Arial" w:cs="Arial"/>
                <w:bCs/>
                <w:i/>
                <w:sz w:val="16"/>
                <w:szCs w:val="16"/>
                <w:lang w:val="en-GB"/>
              </w:rPr>
              <w:t xml:space="preserve"> your</w:t>
            </w:r>
            <w:r>
              <w:rPr>
                <w:rFonts w:ascii="Arial" w:eastAsia="Batang" w:hAnsi="Arial" w:cs="Arial"/>
                <w:bCs/>
                <w:i/>
                <w:sz w:val="16"/>
                <w:szCs w:val="16"/>
                <w:lang w:val="en-GB"/>
              </w:rPr>
              <w:t xml:space="preserve"> user</w:t>
            </w:r>
            <w:r w:rsidRPr="00AA35E0">
              <w:rPr>
                <w:rFonts w:ascii="Arial" w:eastAsia="Batang" w:hAnsi="Arial" w:cs="Arial"/>
                <w:bCs/>
                <w:i/>
                <w:sz w:val="16"/>
                <w:szCs w:val="16"/>
                <w:lang w:val="en-GB"/>
              </w:rPr>
              <w:t xml:space="preserve"> dashboard</w:t>
            </w:r>
            <w:r>
              <w:rPr>
                <w:rFonts w:ascii="Arial" w:eastAsia="Batang" w:hAnsi="Arial" w:cs="Arial"/>
                <w:bCs/>
                <w:i/>
                <w:sz w:val="16"/>
                <w:szCs w:val="16"/>
                <w:lang w:val="en-GB"/>
              </w:rPr>
              <w:t>]</w:t>
            </w:r>
          </w:p>
          <w:p w14:paraId="4C081C4B" w14:textId="77777777" w:rsidR="00357EF3" w:rsidRPr="00EA3273" w:rsidRDefault="007B2937" w:rsidP="007B2937">
            <w:pPr>
              <w:pStyle w:val="ListParagraph"/>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w:t>
            </w:r>
            <w:r w:rsidR="00357EF3" w:rsidRPr="00357EF3">
              <w:rPr>
                <w:rFonts w:ascii="Arial" w:eastAsia="Batang" w:hAnsi="Arial" w:cs="Arial"/>
                <w:bCs/>
                <w:i/>
                <w:sz w:val="16"/>
                <w:szCs w:val="16"/>
                <w:lang w:val="en-GB"/>
              </w:rPr>
              <w:t xml:space="preserve">he owner of the good practice should fill in the form. </w:t>
            </w:r>
            <w:r>
              <w:rPr>
                <w:rFonts w:ascii="Arial" w:eastAsia="Batang" w:hAnsi="Arial" w:cs="Arial"/>
                <w:bCs/>
                <w:i/>
                <w:sz w:val="16"/>
                <w:szCs w:val="16"/>
                <w:lang w:val="en-GB"/>
              </w:rPr>
              <w:t>I</w:t>
            </w:r>
            <w:r w:rsidR="00357EF3" w:rsidRPr="00357EF3">
              <w:rPr>
                <w:rFonts w:ascii="Arial" w:eastAsia="Batang" w:hAnsi="Arial" w:cs="Arial"/>
                <w:bCs/>
                <w:i/>
                <w:sz w:val="16"/>
                <w:szCs w:val="16"/>
                <w:lang w:val="en-GB"/>
              </w:rPr>
              <w:t>f you submit a good practice, your personal and organisational profile in the Interreg Europe community will be linked to it.</w:t>
            </w:r>
          </w:p>
        </w:tc>
      </w:tr>
      <w:tr w:rsidR="00AA35E0" w:rsidRPr="00457EEC" w14:paraId="27E0443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E598EF" w14:textId="77777777" w:rsidR="00AA35E0" w:rsidRPr="00457EEC"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3B28D0D5" w14:textId="25CBEF9D" w:rsidR="00AA35E0" w:rsidRPr="00C04F44" w:rsidRDefault="001240BC" w:rsidP="00A04871">
            <w:pPr>
              <w:spacing w:before="60" w:after="60"/>
              <w:rPr>
                <w:rFonts w:ascii="Arial" w:eastAsia="Batang" w:hAnsi="Arial" w:cs="Arial"/>
                <w:b/>
                <w:bCs/>
                <w:i/>
                <w:sz w:val="16"/>
                <w:szCs w:val="16"/>
                <w:lang w:val="en-GB"/>
              </w:rPr>
            </w:pPr>
            <w:r>
              <w:rPr>
                <w:rFonts w:ascii="Arial" w:eastAsia="Batang" w:hAnsi="Arial" w:cs="Arial"/>
                <w:b/>
                <w:bCs/>
                <w:i/>
                <w:sz w:val="16"/>
                <w:szCs w:val="16"/>
                <w:lang w:val="en-GB"/>
              </w:rPr>
              <w:t>Elaine Whoriskey</w:t>
            </w:r>
          </w:p>
        </w:tc>
      </w:tr>
      <w:tr w:rsidR="00AA35E0" w:rsidRPr="00457EEC" w14:paraId="509F87AA"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A5945F"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2839E8AA" w14:textId="624C3836" w:rsidR="00AA35E0" w:rsidRPr="006758CD" w:rsidRDefault="004631C2" w:rsidP="00A04871">
            <w:pPr>
              <w:spacing w:before="60" w:after="60"/>
              <w:rPr>
                <w:rFonts w:ascii="Arial" w:eastAsia="Batang" w:hAnsi="Arial" w:cs="Arial"/>
                <w:bCs/>
                <w:i/>
                <w:sz w:val="16"/>
                <w:szCs w:val="16"/>
                <w:lang w:val="en-GB"/>
              </w:rPr>
            </w:pPr>
            <w:hyperlink r:id="rId8" w:history="1">
              <w:r w:rsidR="001240BC" w:rsidRPr="000546D7">
                <w:rPr>
                  <w:rStyle w:val="Hyperlink"/>
                  <w:rFonts w:ascii="Arial" w:eastAsia="Batang" w:hAnsi="Arial" w:cs="Arial"/>
                  <w:bCs/>
                  <w:i/>
                  <w:sz w:val="16"/>
                  <w:szCs w:val="16"/>
                  <w:lang w:val="en-GB"/>
                </w:rPr>
                <w:t>ewhoriskey@donegalcoco.ie</w:t>
              </w:r>
            </w:hyperlink>
          </w:p>
        </w:tc>
      </w:tr>
      <w:tr w:rsidR="00AA35E0" w:rsidRPr="00457EEC" w14:paraId="18AA77A8"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2470A8"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7802A615" w14:textId="60E2EC32"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00353 87 1603942</w:t>
            </w:r>
          </w:p>
        </w:tc>
      </w:tr>
      <w:tr w:rsidR="00AA35E0" w:rsidRPr="00457EEC" w14:paraId="18259848"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EBD1D9A" w14:textId="77777777" w:rsidR="00AA35E0" w:rsidRDefault="00AA35E0" w:rsidP="00AA35E0">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AA35E0" w:rsidRPr="00457EEC" w14:paraId="29A0A02A"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4FB4E1"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DDB1AD2" w14:textId="0810C9C0"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Republic of Ireland</w:t>
            </w:r>
          </w:p>
        </w:tc>
      </w:tr>
      <w:tr w:rsidR="00AA35E0" w:rsidRPr="00457EEC" w14:paraId="43A776EB"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2D35BD"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6B735C43" w14:textId="7CEFFF78"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County Donegal</w:t>
            </w:r>
          </w:p>
        </w:tc>
      </w:tr>
      <w:tr w:rsidR="00AA35E0" w:rsidRPr="00457EEC" w14:paraId="461DB55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89E386" w14:textId="77777777" w:rsidR="00AA35E0" w:rsidRDefault="00AA35E0"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66EA5076" w14:textId="2AB5579E" w:rsidR="00AA35E0"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w:t>
            </w:r>
          </w:p>
        </w:tc>
      </w:tr>
      <w:tr w:rsidR="007B2937" w:rsidRPr="00457EEC" w14:paraId="191D4CAB"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C23805" w14:textId="77777777" w:rsidR="007B2937" w:rsidRDefault="007B2937" w:rsidP="00A04871">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41EC1638" w14:textId="3908E2DB" w:rsidR="007B2937" w:rsidRDefault="001240BC"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 County Council</w:t>
            </w:r>
          </w:p>
        </w:tc>
      </w:tr>
    </w:tbl>
    <w:p w14:paraId="14130C4C" w14:textId="77777777" w:rsidR="00AA35E0" w:rsidRPr="00AA35E0" w:rsidRDefault="00AA35E0">
      <w:pPr>
        <w:pStyle w:val="Title"/>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2472AFEF" w14:textId="77777777" w:rsidTr="00A04871">
        <w:trPr>
          <w:trHeight w:val="232"/>
        </w:trPr>
        <w:tc>
          <w:tcPr>
            <w:tcW w:w="9918" w:type="dxa"/>
            <w:gridSpan w:val="2"/>
            <w:shd w:val="clear" w:color="auto" w:fill="DEEAF6" w:themeFill="accent1" w:themeFillTint="33"/>
            <w:vAlign w:val="center"/>
          </w:tcPr>
          <w:p w14:paraId="39CB80B9" w14:textId="77777777" w:rsidR="00357EF3" w:rsidRPr="00357EF3" w:rsidRDefault="00A07589" w:rsidP="00357EF3">
            <w:pPr>
              <w:pStyle w:val="ListParagraph"/>
              <w:numPr>
                <w:ilvl w:val="0"/>
                <w:numId w:val="14"/>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p w14:paraId="4F160D20" w14:textId="77777777" w:rsidR="00357EF3" w:rsidRPr="00357EF3" w:rsidRDefault="00357EF3" w:rsidP="00357EF3">
            <w:pPr>
              <w:pStyle w:val="ListParagraph"/>
              <w:ind w:left="928"/>
              <w:rPr>
                <w:rFonts w:ascii="Arial" w:eastAsia="Batang" w:hAnsi="Arial" w:cs="Arial"/>
                <w:i/>
                <w:sz w:val="18"/>
                <w:lang w:val="en-GB"/>
              </w:rPr>
            </w:pPr>
            <w:r w:rsidRPr="00357EF3">
              <w:rPr>
                <w:rFonts w:ascii="Arial" w:eastAsia="Batang" w:hAnsi="Arial" w:cs="Arial"/>
                <w:bCs/>
                <w:i/>
                <w:sz w:val="14"/>
                <w:szCs w:val="16"/>
                <w:lang w:val="en-GB"/>
              </w:rPr>
              <w:t>[</w:t>
            </w:r>
            <w:r w:rsidRPr="00357EF3">
              <w:rPr>
                <w:rFonts w:ascii="Arial" w:hAnsi="Arial" w:cs="Arial"/>
                <w:i/>
                <w:color w:val="444444"/>
                <w:sz w:val="16"/>
                <w:shd w:val="clear" w:color="auto" w:fill="EFF3F5"/>
              </w:rPr>
              <w:t xml:space="preserve">If your organisation is not the one in charge of the good practice, you can indicate the relevant organisation in </w:t>
            </w:r>
            <w:r>
              <w:rPr>
                <w:rFonts w:ascii="Arial" w:hAnsi="Arial" w:cs="Arial"/>
                <w:i/>
                <w:color w:val="444444"/>
                <w:sz w:val="16"/>
                <w:shd w:val="clear" w:color="auto" w:fill="EFF3F5"/>
              </w:rPr>
              <w:t xml:space="preserve">this </w:t>
            </w:r>
            <w:r w:rsidRPr="00357EF3">
              <w:rPr>
                <w:rFonts w:ascii="Arial" w:hAnsi="Arial" w:cs="Arial"/>
                <w:i/>
                <w:color w:val="444444"/>
                <w:sz w:val="16"/>
                <w:shd w:val="clear" w:color="auto" w:fill="EFF3F5"/>
              </w:rPr>
              <w:t>section of the form. But your contact details will still be linked to the submitted good practice.</w:t>
            </w:r>
            <w:r w:rsidRPr="00357EF3">
              <w:rPr>
                <w:rFonts w:ascii="Arial" w:eastAsia="Batang" w:hAnsi="Arial" w:cs="Arial"/>
                <w:bCs/>
                <w:i/>
                <w:sz w:val="14"/>
                <w:szCs w:val="16"/>
                <w:lang w:val="en-GB"/>
              </w:rPr>
              <w:t xml:space="preserve"> ]</w:t>
            </w:r>
          </w:p>
          <w:p w14:paraId="1C026F40" w14:textId="77777777" w:rsidR="00A07589" w:rsidRPr="00EA3273" w:rsidRDefault="00A07589" w:rsidP="00357EF3">
            <w:pPr>
              <w:pStyle w:val="ListParagraph"/>
              <w:spacing w:before="60" w:after="60"/>
              <w:rPr>
                <w:rFonts w:ascii="Arial" w:eastAsia="Batang" w:hAnsi="Arial" w:cs="Arial"/>
                <w:b/>
                <w:bCs/>
                <w:sz w:val="20"/>
                <w:szCs w:val="20"/>
                <w:lang w:val="en-GB"/>
              </w:rPr>
            </w:pPr>
          </w:p>
        </w:tc>
      </w:tr>
      <w:tr w:rsidR="00A07589" w:rsidRPr="00457EEC" w14:paraId="7161C181" w14:textId="77777777" w:rsidTr="00A04871">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D43AD0" w14:textId="77777777" w:rsidR="00A07589" w:rsidRPr="00457EEC" w:rsidRDefault="00BD7748" w:rsidP="00A04871">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 xml:space="preserve">n charge of this good </w:t>
            </w:r>
            <w:proofErr w:type="gramStart"/>
            <w:r w:rsidR="00422421">
              <w:rPr>
                <w:rFonts w:ascii="Arial" w:eastAsia="Batang" w:hAnsi="Arial" w:cs="Arial"/>
                <w:b/>
                <w:bCs/>
                <w:sz w:val="20"/>
                <w:szCs w:val="20"/>
                <w:lang w:val="en-GB"/>
              </w:rPr>
              <w:t>practice?:</w:t>
            </w:r>
            <w:proofErr w:type="gramEnd"/>
          </w:p>
        </w:tc>
        <w:tc>
          <w:tcPr>
            <w:tcW w:w="6521" w:type="dxa"/>
            <w:tcBorders>
              <w:top w:val="single" w:sz="4" w:space="0" w:color="auto"/>
              <w:left w:val="single" w:sz="4" w:space="0" w:color="auto"/>
              <w:bottom w:val="single" w:sz="4" w:space="0" w:color="auto"/>
              <w:right w:val="single" w:sz="4" w:space="0" w:color="auto"/>
            </w:tcBorders>
            <w:vAlign w:val="center"/>
          </w:tcPr>
          <w:p w14:paraId="0EE13959" w14:textId="7DBBB197" w:rsidR="00A07589" w:rsidRPr="00C04F44" w:rsidRDefault="001240BC" w:rsidP="00A04871">
            <w:pPr>
              <w:spacing w:before="60" w:after="60"/>
              <w:rPr>
                <w:rFonts w:ascii="Arial" w:eastAsia="Batang" w:hAnsi="Arial" w:cs="Arial"/>
                <w:b/>
                <w:bCs/>
                <w:i/>
                <w:sz w:val="16"/>
                <w:szCs w:val="16"/>
                <w:lang w:val="en-GB"/>
              </w:rPr>
            </w:pPr>
            <w:r>
              <w:rPr>
                <w:rFonts w:ascii="Arial" w:eastAsia="Batang" w:hAnsi="Arial" w:cs="Arial"/>
                <w:b/>
                <w:bCs/>
                <w:i/>
                <w:sz w:val="16"/>
                <w:szCs w:val="16"/>
                <w:lang w:val="en-GB"/>
              </w:rPr>
              <w:t>Yes</w:t>
            </w:r>
          </w:p>
        </w:tc>
      </w:tr>
    </w:tbl>
    <w:p w14:paraId="4E495837" w14:textId="77777777" w:rsidR="00AA35E0" w:rsidRPr="00A07589" w:rsidRDefault="00AA35E0">
      <w:pPr>
        <w:pStyle w:val="Title"/>
        <w:rPr>
          <w:rFonts w:ascii="Arial" w:hAnsi="Arial" w:cs="Arial"/>
          <w:sz w:val="28"/>
          <w:szCs w:val="28"/>
          <w:lang w:val="lv-LV"/>
        </w:rPr>
      </w:pPr>
    </w:p>
    <w:p w14:paraId="6ECA149D" w14:textId="7777777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Pr>
          <w:rFonts w:ascii="Arial" w:eastAsia="Batang" w:hAnsi="Arial" w:cs="Arial"/>
          <w:lang w:val="en-GB"/>
        </w:rPr>
        <w:t>no</w:t>
      </w:r>
      <w:r w:rsidRPr="00554368">
        <w:rPr>
          <w:rFonts w:ascii="Arial" w:eastAsia="Batang" w:hAnsi="Arial" w:cs="Arial"/>
          <w:lang w:val="en-GB"/>
        </w:rPr>
        <w:t>’ is selected, the following sections appear:</w:t>
      </w:r>
      <w:r w:rsidR="00357EF3">
        <w:rPr>
          <w:rFonts w:ascii="Arial" w:eastAsia="Batang" w:hAnsi="Arial" w:cs="Arial"/>
          <w:lang w:val="en-GB"/>
        </w:rPr>
        <w:t xml:space="preserve"> </w:t>
      </w:r>
    </w:p>
    <w:p w14:paraId="5985B4AF" w14:textId="77777777" w:rsidR="00922E75" w:rsidRDefault="00922E75" w:rsidP="006F583F">
      <w:pPr>
        <w:rPr>
          <w:rFonts w:ascii="Arial" w:eastAsia="Batang" w:hAnsi="Arial" w:cs="Arial"/>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922E75" w:rsidRPr="00EA3273" w14:paraId="04F5EC95" w14:textId="77777777" w:rsidTr="00A04871">
        <w:trPr>
          <w:trHeight w:val="197"/>
        </w:trPr>
        <w:tc>
          <w:tcPr>
            <w:tcW w:w="340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79717BE8" w14:textId="77777777" w:rsidR="00922E75" w:rsidRPr="00422421"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11AB676C"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77AB62B0" w14:textId="451E72CA" w:rsidR="00922E75" w:rsidRDefault="001C2B71"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Ireland</w:t>
            </w:r>
          </w:p>
        </w:tc>
      </w:tr>
      <w:tr w:rsidR="00922E75" w:rsidRPr="00EA3273" w14:paraId="322A5CB5" w14:textId="77777777" w:rsidTr="00A04871">
        <w:trPr>
          <w:trHeight w:val="197"/>
        </w:trPr>
        <w:tc>
          <w:tcPr>
            <w:tcW w:w="3402" w:type="dxa"/>
            <w:vMerge/>
            <w:tcBorders>
              <w:left w:val="single" w:sz="4" w:space="0" w:color="auto"/>
              <w:right w:val="single" w:sz="4" w:space="0" w:color="auto"/>
            </w:tcBorders>
            <w:shd w:val="clear" w:color="auto" w:fill="DEEAF6" w:themeFill="accent1" w:themeFillTint="33"/>
            <w:vAlign w:val="center"/>
          </w:tcPr>
          <w:p w14:paraId="6981C04E"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1BB68AC"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7DAB5D61" w14:textId="248E46AD" w:rsidR="00922E75" w:rsidRPr="00EA3273" w:rsidRDefault="001C2B71"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w:t>
            </w:r>
          </w:p>
        </w:tc>
      </w:tr>
      <w:tr w:rsidR="00922E75" w:rsidRPr="00EA3273" w14:paraId="46C05581" w14:textId="77777777" w:rsidTr="00A04871">
        <w:trPr>
          <w:trHeight w:val="197"/>
        </w:trPr>
        <w:tc>
          <w:tcPr>
            <w:tcW w:w="3402" w:type="dxa"/>
            <w:vMerge/>
            <w:tcBorders>
              <w:left w:val="single" w:sz="4" w:space="0" w:color="auto"/>
              <w:bottom w:val="single" w:sz="4" w:space="0" w:color="auto"/>
              <w:right w:val="single" w:sz="4" w:space="0" w:color="auto"/>
            </w:tcBorders>
            <w:shd w:val="clear" w:color="auto" w:fill="DEEAF6" w:themeFill="accent1" w:themeFillTint="33"/>
            <w:vAlign w:val="center"/>
          </w:tcPr>
          <w:p w14:paraId="1E335902" w14:textId="77777777" w:rsidR="00922E75" w:rsidRPr="00422421" w:rsidDel="00C35238" w:rsidRDefault="00922E75" w:rsidP="00A04871">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2EA5F9E" w14:textId="77777777" w:rsidR="00922E75" w:rsidRPr="00EA3273" w:rsidRDefault="00922E75"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4630B96" w14:textId="76EDB481" w:rsidR="00922E75" w:rsidRPr="00EA3273" w:rsidRDefault="001C2B71"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Lifford</w:t>
            </w:r>
          </w:p>
        </w:tc>
      </w:tr>
      <w:tr w:rsidR="00922E75" w:rsidRPr="00EA3273" w14:paraId="03BD5A25" w14:textId="77777777" w:rsidTr="00A04871">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D11CD" w14:textId="77777777" w:rsidR="00922E75" w:rsidRPr="00422421" w:rsidDel="00C35238"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3C0BA71" w14:textId="3A8D717E" w:rsidR="00922E75" w:rsidRPr="00EA3273" w:rsidRDefault="001C2B71" w:rsidP="00A04871">
            <w:pPr>
              <w:spacing w:before="60" w:after="60"/>
              <w:rPr>
                <w:rFonts w:ascii="Arial" w:eastAsia="Batang" w:hAnsi="Arial" w:cs="Arial"/>
                <w:bCs/>
                <w:i/>
                <w:sz w:val="16"/>
                <w:szCs w:val="16"/>
                <w:lang w:val="en-GB"/>
              </w:rPr>
            </w:pPr>
            <w:r>
              <w:rPr>
                <w:rFonts w:ascii="Arial" w:eastAsia="Batang" w:hAnsi="Arial" w:cs="Arial"/>
                <w:bCs/>
                <w:i/>
                <w:sz w:val="16"/>
                <w:szCs w:val="16"/>
                <w:lang w:val="en-GB"/>
              </w:rPr>
              <w:t>Donegal County Council</w:t>
            </w:r>
          </w:p>
        </w:tc>
      </w:tr>
    </w:tbl>
    <w:p w14:paraId="1237EFCC" w14:textId="77777777" w:rsidR="00922E75" w:rsidRDefault="00922E75" w:rsidP="006F583F">
      <w:pPr>
        <w:rPr>
          <w:rFonts w:ascii="Arial" w:eastAsia="Batang" w:hAnsi="Arial" w:cs="Arial"/>
        </w:rPr>
      </w:pPr>
    </w:p>
    <w:p w14:paraId="763485BD" w14:textId="77777777" w:rsidR="001C2B71" w:rsidRDefault="001C2B71" w:rsidP="006F583F">
      <w:pPr>
        <w:rPr>
          <w:rFonts w:ascii="Arial" w:eastAsia="Batang" w:hAnsi="Arial" w:cs="Arial"/>
        </w:rPr>
      </w:pPr>
    </w:p>
    <w:p w14:paraId="6B3A6D7F" w14:textId="77777777" w:rsidR="001C2B71" w:rsidRDefault="001C2B71" w:rsidP="006F583F">
      <w:pPr>
        <w:rPr>
          <w:rFonts w:ascii="Arial" w:eastAsia="Batang" w:hAnsi="Arial" w:cs="Arial"/>
        </w:rPr>
      </w:pPr>
    </w:p>
    <w:p w14:paraId="5AA1D6AB" w14:textId="77777777" w:rsidR="001C2B71" w:rsidRDefault="001C2B71" w:rsidP="006F583F">
      <w:pPr>
        <w:rPr>
          <w:rFonts w:ascii="Arial" w:eastAsia="Batang" w:hAnsi="Arial" w:cs="Arial"/>
        </w:rPr>
      </w:pPr>
    </w:p>
    <w:p w14:paraId="7D86BAA5" w14:textId="77777777" w:rsidR="001C2B71" w:rsidRDefault="001C2B71" w:rsidP="006F583F">
      <w:pPr>
        <w:rPr>
          <w:rFonts w:ascii="Arial" w:eastAsia="Batang" w:hAnsi="Arial" w:cs="Arial"/>
        </w:rPr>
      </w:pPr>
    </w:p>
    <w:p w14:paraId="5EAACB88" w14:textId="77777777" w:rsidR="001C2B71" w:rsidRDefault="001C2B71" w:rsidP="006F583F">
      <w:pPr>
        <w:rPr>
          <w:rFonts w:ascii="Arial" w:eastAsia="Batang" w:hAnsi="Arial" w:cs="Arial"/>
        </w:rPr>
      </w:pPr>
    </w:p>
    <w:p w14:paraId="49F6859D" w14:textId="77777777" w:rsidR="001C2B71" w:rsidRDefault="001C2B71" w:rsidP="006F583F">
      <w:pPr>
        <w:rPr>
          <w:rFonts w:ascii="Arial" w:eastAsia="Batang" w:hAnsi="Arial" w:cs="Arial"/>
        </w:rPr>
      </w:pPr>
    </w:p>
    <w:p w14:paraId="2B5C1070" w14:textId="77777777" w:rsidR="001C2B71" w:rsidRDefault="001C2B71" w:rsidP="006F583F">
      <w:pPr>
        <w:rPr>
          <w:rFonts w:ascii="Arial" w:eastAsia="Batang" w:hAnsi="Arial" w:cs="Arial"/>
        </w:rPr>
      </w:pPr>
    </w:p>
    <w:p w14:paraId="4A12C45E" w14:textId="77777777" w:rsidR="001C2B71" w:rsidRDefault="001C2B71" w:rsidP="006F583F">
      <w:pPr>
        <w:rPr>
          <w:rFonts w:ascii="Arial" w:eastAsia="Batang" w:hAnsi="Arial" w:cs="Arial"/>
        </w:rPr>
      </w:pPr>
    </w:p>
    <w:p w14:paraId="325E58A9" w14:textId="77777777" w:rsidR="001C2B71" w:rsidRPr="00922E75" w:rsidRDefault="001C2B71" w:rsidP="006F583F">
      <w:pPr>
        <w:rPr>
          <w:rFonts w:ascii="Arial" w:eastAsia="Batang" w:hAnsi="Arial" w:cs="Arial"/>
        </w:rPr>
      </w:pPr>
    </w:p>
    <w:p w14:paraId="06F71AFD" w14:textId="77777777" w:rsidR="00AA35E0" w:rsidRDefault="00AA35E0">
      <w:pPr>
        <w:pStyle w:val="Title"/>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EA3273" w:rsidRPr="00457EEC" w14:paraId="49B4D526" w14:textId="77777777" w:rsidTr="0004650D">
        <w:trPr>
          <w:trHeight w:val="232"/>
        </w:trPr>
        <w:tc>
          <w:tcPr>
            <w:tcW w:w="9918" w:type="dxa"/>
            <w:gridSpan w:val="2"/>
            <w:shd w:val="clear" w:color="auto" w:fill="DEEAF6" w:themeFill="accent1" w:themeFillTint="33"/>
            <w:vAlign w:val="center"/>
          </w:tcPr>
          <w:p w14:paraId="50D30006" w14:textId="77777777" w:rsidR="00EA3273" w:rsidRPr="00EA3273" w:rsidRDefault="00922E75" w:rsidP="00922E75">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lastRenderedPageBreak/>
              <w:t>Good practice g</w:t>
            </w:r>
            <w:r w:rsidR="00EA3273" w:rsidRPr="00EA3273">
              <w:rPr>
                <w:rFonts w:ascii="Arial" w:eastAsia="Batang" w:hAnsi="Arial" w:cs="Arial"/>
                <w:b/>
                <w:bCs/>
                <w:sz w:val="20"/>
                <w:szCs w:val="20"/>
                <w:lang w:val="en-GB"/>
              </w:rPr>
              <w:t>eneral information</w:t>
            </w:r>
          </w:p>
        </w:tc>
      </w:tr>
      <w:tr w:rsidR="00422421" w:rsidRPr="00457EEC" w14:paraId="1EE83CE1"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61ED05" w14:textId="77777777" w:rsidR="00422421" w:rsidRDefault="00422421"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Practice image:</w:t>
            </w:r>
          </w:p>
        </w:tc>
        <w:tc>
          <w:tcPr>
            <w:tcW w:w="6521" w:type="dxa"/>
            <w:tcBorders>
              <w:top w:val="single" w:sz="4" w:space="0" w:color="auto"/>
              <w:left w:val="single" w:sz="4" w:space="0" w:color="auto"/>
              <w:bottom w:val="single" w:sz="4" w:space="0" w:color="auto"/>
              <w:right w:val="single" w:sz="4" w:space="0" w:color="auto"/>
            </w:tcBorders>
            <w:vAlign w:val="center"/>
          </w:tcPr>
          <w:p w14:paraId="3F5CE6AA" w14:textId="0044C9EF" w:rsidR="00422421" w:rsidRDefault="001C2B71" w:rsidP="00C83FC4">
            <w:pPr>
              <w:spacing w:before="60" w:after="60"/>
              <w:rPr>
                <w:rFonts w:ascii="Arial" w:eastAsia="Batang" w:hAnsi="Arial" w:cs="Arial"/>
                <w:bCs/>
                <w:i/>
                <w:sz w:val="16"/>
                <w:szCs w:val="16"/>
                <w:lang w:val="en-GB"/>
              </w:rPr>
            </w:pPr>
            <w:r>
              <w:rPr>
                <w:rFonts w:ascii="Arial" w:eastAsia="Batang" w:hAnsi="Arial" w:cs="Arial"/>
                <w:bCs/>
                <w:i/>
                <w:noProof/>
                <w:sz w:val="16"/>
                <w:szCs w:val="16"/>
                <w:lang w:val="en-GB"/>
              </w:rPr>
              <w:drawing>
                <wp:inline distT="0" distB="0" distL="0" distR="0" wp14:anchorId="6A039357" wp14:editId="07C6C0F7">
                  <wp:extent cx="4003675" cy="3727450"/>
                  <wp:effectExtent l="0" t="0" r="0" b="6350"/>
                  <wp:docPr id="728029158" name="Picture 1" descr="A group of people standing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29158" name="Picture 1" descr="A group of people standing outside a buil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03675" cy="3727450"/>
                          </a:xfrm>
                          <a:prstGeom prst="rect">
                            <a:avLst/>
                          </a:prstGeom>
                        </pic:spPr>
                      </pic:pic>
                    </a:graphicData>
                  </a:graphic>
                </wp:inline>
              </w:drawing>
            </w:r>
          </w:p>
          <w:p w14:paraId="16E72A5A" w14:textId="77777777" w:rsidR="001240BC" w:rsidRDefault="001240BC" w:rsidP="00C83FC4">
            <w:pPr>
              <w:spacing w:before="60" w:after="60"/>
              <w:rPr>
                <w:rFonts w:ascii="Arial" w:eastAsia="Batang" w:hAnsi="Arial" w:cs="Arial"/>
                <w:bCs/>
                <w:i/>
                <w:sz w:val="16"/>
                <w:szCs w:val="16"/>
                <w:lang w:val="en-GB"/>
              </w:rPr>
            </w:pPr>
          </w:p>
          <w:p w14:paraId="563B057C" w14:textId="77777777" w:rsidR="001240BC" w:rsidRDefault="001240BC" w:rsidP="00C83FC4">
            <w:pPr>
              <w:spacing w:before="60" w:after="60"/>
              <w:rPr>
                <w:rFonts w:ascii="Arial" w:eastAsia="Batang" w:hAnsi="Arial" w:cs="Arial"/>
                <w:bCs/>
                <w:i/>
                <w:sz w:val="16"/>
                <w:szCs w:val="16"/>
                <w:lang w:val="en-GB"/>
              </w:rPr>
            </w:pPr>
          </w:p>
          <w:p w14:paraId="7CCEA6F7" w14:textId="1AA013B9" w:rsidR="001240BC" w:rsidRPr="006758CD" w:rsidRDefault="001240BC" w:rsidP="00C83FC4">
            <w:pPr>
              <w:spacing w:before="60" w:after="60"/>
              <w:rPr>
                <w:rFonts w:ascii="Arial" w:eastAsia="Batang" w:hAnsi="Arial" w:cs="Arial"/>
                <w:bCs/>
                <w:i/>
                <w:sz w:val="16"/>
                <w:szCs w:val="16"/>
                <w:lang w:val="en-GB"/>
              </w:rPr>
            </w:pPr>
          </w:p>
        </w:tc>
      </w:tr>
      <w:tr w:rsidR="00841E6F" w:rsidRPr="00457EEC" w14:paraId="6A7F5812"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53FC" w14:textId="77777777" w:rsidR="00841E6F" w:rsidRPr="00457EEC" w:rsidRDefault="00841E6F"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5FC6D8FD" w14:textId="4ED6C0DA" w:rsidR="00841E6F" w:rsidRPr="00C04F44" w:rsidRDefault="001240BC" w:rsidP="00903D32">
            <w:pPr>
              <w:spacing w:before="60" w:after="60"/>
              <w:rPr>
                <w:rFonts w:ascii="Arial" w:eastAsia="Batang" w:hAnsi="Arial" w:cs="Arial"/>
                <w:b/>
                <w:bCs/>
                <w:i/>
                <w:sz w:val="16"/>
                <w:szCs w:val="16"/>
                <w:lang w:val="en-GB"/>
              </w:rPr>
            </w:pPr>
            <w:r>
              <w:rPr>
                <w:rFonts w:ascii="Arial" w:eastAsia="Batang" w:hAnsi="Arial" w:cs="Arial"/>
                <w:b/>
                <w:bCs/>
                <w:i/>
                <w:sz w:val="16"/>
                <w:szCs w:val="16"/>
                <w:lang w:val="en-GB"/>
              </w:rPr>
              <w:t xml:space="preserve">Donegal </w:t>
            </w:r>
            <w:r w:rsidR="0063156A">
              <w:rPr>
                <w:rFonts w:ascii="Arial" w:eastAsia="Batang" w:hAnsi="Arial" w:cs="Arial"/>
                <w:b/>
                <w:bCs/>
                <w:i/>
                <w:sz w:val="16"/>
                <w:szCs w:val="16"/>
                <w:lang w:val="en-GB"/>
              </w:rPr>
              <w:t xml:space="preserve">Working Holiday Campaign 2023 and 2022. </w:t>
            </w:r>
          </w:p>
        </w:tc>
      </w:tr>
      <w:tr w:rsidR="00841E6F" w:rsidRPr="00457EEC" w14:paraId="6F45D2FE" w14:textId="77777777"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958A" w14:textId="77777777" w:rsidR="00841E6F" w:rsidRDefault="00422421" w:rsidP="00395D58">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Has this good practice been identified in the course of an Interreg Europe project as part of the learning process? (i.e. to be reported under the indicator “number of good practices identified” in the progress report)</w:t>
            </w:r>
            <w:r>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B0F914C" w14:textId="3AFC94D9" w:rsidR="00F25A72" w:rsidRPr="006758CD" w:rsidRDefault="00791268" w:rsidP="000118A9">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Yes. </w:t>
            </w:r>
          </w:p>
        </w:tc>
      </w:tr>
    </w:tbl>
    <w:p w14:paraId="64BC57ED" w14:textId="77777777" w:rsidR="002C7F70" w:rsidRDefault="002C7F70" w:rsidP="00DC6BB4">
      <w:pPr>
        <w:rPr>
          <w:rFonts w:eastAsia="Batang"/>
          <w:lang w:val="en-GB"/>
        </w:rPr>
      </w:pPr>
    </w:p>
    <w:p w14:paraId="28861077" w14:textId="77777777" w:rsidR="00841E6F" w:rsidRDefault="00841E6F" w:rsidP="00DC6BB4">
      <w:pPr>
        <w:rPr>
          <w:rFonts w:eastAsia="Batang"/>
        </w:rPr>
      </w:pPr>
      <w:r w:rsidRPr="00554368">
        <w:rPr>
          <w:rFonts w:ascii="Arial" w:eastAsia="Batang" w:hAnsi="Arial" w:cs="Arial"/>
          <w:lang w:val="en-GB"/>
        </w:rPr>
        <w:t>In case ‘yes’ is selected, the following sections appear:</w:t>
      </w:r>
    </w:p>
    <w:p w14:paraId="3A327840" w14:textId="77777777" w:rsidR="00841E6F" w:rsidRDefault="00841E6F" w:rsidP="00DC6BB4">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922E75" w:rsidRPr="00457EEC" w14:paraId="34C1BBD1" w14:textId="77777777" w:rsidTr="0004650D">
        <w:trPr>
          <w:trHeight w:val="233"/>
        </w:trPr>
        <w:tc>
          <w:tcPr>
            <w:tcW w:w="3397" w:type="dxa"/>
            <w:shd w:val="clear" w:color="auto" w:fill="DEEAF6" w:themeFill="accent1" w:themeFillTint="33"/>
            <w:vAlign w:val="center"/>
          </w:tcPr>
          <w:p w14:paraId="3D3C12FB" w14:textId="77777777" w:rsidR="00922E75"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gridSpan w:val="2"/>
            <w:vAlign w:val="center"/>
          </w:tcPr>
          <w:p w14:paraId="54254480" w14:textId="03A144B8" w:rsidR="00922E75" w:rsidRPr="00AC488B" w:rsidRDefault="001240BC" w:rsidP="0004650D">
            <w:pPr>
              <w:spacing w:before="60" w:after="60"/>
              <w:rPr>
                <w:rFonts w:ascii="Arial" w:eastAsia="Batang" w:hAnsi="Arial" w:cs="Arial"/>
                <w:bCs/>
                <w:i/>
                <w:sz w:val="16"/>
                <w:szCs w:val="16"/>
              </w:rPr>
            </w:pPr>
            <w:r>
              <w:rPr>
                <w:rFonts w:ascii="Arial" w:eastAsia="Batang" w:hAnsi="Arial" w:cs="Arial"/>
                <w:bCs/>
                <w:i/>
                <w:sz w:val="16"/>
                <w:szCs w:val="16"/>
              </w:rPr>
              <w:t>EDIN</w:t>
            </w:r>
          </w:p>
        </w:tc>
      </w:tr>
      <w:tr w:rsidR="00841E6F" w:rsidRPr="00457EEC" w14:paraId="71B8AFE1" w14:textId="77777777" w:rsidTr="0004650D">
        <w:trPr>
          <w:trHeight w:val="233"/>
        </w:trPr>
        <w:tc>
          <w:tcPr>
            <w:tcW w:w="3397" w:type="dxa"/>
            <w:shd w:val="clear" w:color="auto" w:fill="DEEAF6" w:themeFill="accent1" w:themeFillTint="33"/>
            <w:vAlign w:val="center"/>
          </w:tcPr>
          <w:p w14:paraId="074F0830" w14:textId="77777777" w:rsidR="00841E6F"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Thematic</w:t>
            </w:r>
            <w:r w:rsidRPr="00DE632D">
              <w:rPr>
                <w:rFonts w:ascii="Arial" w:eastAsia="Batang" w:hAnsi="Arial" w:cs="Arial"/>
                <w:b/>
                <w:bCs/>
                <w:sz w:val="20"/>
                <w:szCs w:val="20"/>
                <w:lang w:val="en-GB"/>
              </w:rPr>
              <w:t xml:space="preserve"> </w:t>
            </w:r>
            <w:r w:rsidR="00841E6F" w:rsidRPr="00DE632D">
              <w:rPr>
                <w:rFonts w:ascii="Arial" w:eastAsia="Batang" w:hAnsi="Arial" w:cs="Arial"/>
                <w:b/>
                <w:bCs/>
                <w:sz w:val="20"/>
                <w:szCs w:val="20"/>
                <w:lang w:val="en-GB"/>
              </w:rPr>
              <w:t>objective</w:t>
            </w:r>
            <w:r>
              <w:rPr>
                <w:rFonts w:ascii="Arial" w:eastAsia="Batang" w:hAnsi="Arial" w:cs="Arial"/>
                <w:b/>
                <w:bCs/>
                <w:sz w:val="20"/>
                <w:szCs w:val="20"/>
                <w:lang w:val="en-GB"/>
              </w:rPr>
              <w:t xml:space="preserve"> of the practice</w:t>
            </w:r>
            <w:r w:rsidR="00422421">
              <w:rPr>
                <w:rFonts w:ascii="Arial" w:eastAsia="Batang" w:hAnsi="Arial" w:cs="Arial"/>
                <w:b/>
                <w:bCs/>
                <w:sz w:val="20"/>
                <w:szCs w:val="20"/>
                <w:lang w:val="en-GB"/>
              </w:rPr>
              <w:t>:</w:t>
            </w:r>
          </w:p>
        </w:tc>
        <w:tc>
          <w:tcPr>
            <w:tcW w:w="6521" w:type="dxa"/>
            <w:gridSpan w:val="2"/>
            <w:vAlign w:val="center"/>
          </w:tcPr>
          <w:p w14:paraId="7DF9C2F2" w14:textId="0A8E5221" w:rsidR="00841E6F" w:rsidRPr="00422421" w:rsidRDefault="00791268" w:rsidP="00F27E3A">
            <w:pPr>
              <w:spacing w:before="60" w:after="60"/>
              <w:rPr>
                <w:lang w:val="en-GB"/>
              </w:rPr>
            </w:pPr>
            <w:r>
              <w:rPr>
                <w:rFonts w:ascii="Arial" w:eastAsia="Batang" w:hAnsi="Arial" w:cs="Arial"/>
                <w:bCs/>
                <w:i/>
                <w:sz w:val="16"/>
                <w:szCs w:val="16"/>
                <w:lang w:val="en-GB"/>
              </w:rPr>
              <w:t>Citizen</w:t>
            </w:r>
          </w:p>
        </w:tc>
      </w:tr>
      <w:tr w:rsidR="00D52BA9" w:rsidRPr="00457EEC" w14:paraId="79B0256B" w14:textId="77777777" w:rsidTr="0004650D">
        <w:trPr>
          <w:trHeight w:val="233"/>
        </w:trPr>
        <w:tc>
          <w:tcPr>
            <w:tcW w:w="3397" w:type="dxa"/>
            <w:shd w:val="clear" w:color="auto" w:fill="DEEAF6" w:themeFill="accent1" w:themeFillTint="33"/>
            <w:vAlign w:val="center"/>
          </w:tcPr>
          <w:p w14:paraId="55402F37" w14:textId="77777777"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1A604127" w14:textId="5DCE958E" w:rsidR="00D52BA9" w:rsidRDefault="001240BC"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County Donegal, Republic of Ireland. </w:t>
            </w:r>
          </w:p>
        </w:tc>
      </w:tr>
      <w:tr w:rsidR="00841E6F" w:rsidRPr="00457EEC" w14:paraId="09E4FD61" w14:textId="77777777" w:rsidTr="0004650D">
        <w:trPr>
          <w:trHeight w:val="232"/>
        </w:trPr>
        <w:tc>
          <w:tcPr>
            <w:tcW w:w="3397" w:type="dxa"/>
            <w:vMerge w:val="restart"/>
            <w:shd w:val="clear" w:color="auto" w:fill="DEEAF6" w:themeFill="accent1" w:themeFillTint="33"/>
          </w:tcPr>
          <w:p w14:paraId="7598792C" w14:textId="77777777" w:rsidR="00841E6F" w:rsidRDefault="00841E6F"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756D7E33" w14:textId="77777777" w:rsidR="00841E6F" w:rsidRPr="00EB146C" w:rsidRDefault="00841E6F" w:rsidP="0004650D">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048F560E" w14:textId="0E3A63E5" w:rsidR="00841E6F" w:rsidRPr="00EB146C" w:rsidRDefault="001240BC"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Republic of Ireland</w:t>
            </w:r>
          </w:p>
        </w:tc>
      </w:tr>
      <w:tr w:rsidR="00841E6F" w:rsidRPr="00457EEC" w14:paraId="66FDCD51" w14:textId="77777777" w:rsidTr="0004650D">
        <w:trPr>
          <w:trHeight w:val="232"/>
        </w:trPr>
        <w:tc>
          <w:tcPr>
            <w:tcW w:w="3397" w:type="dxa"/>
            <w:vMerge/>
            <w:shd w:val="clear" w:color="auto" w:fill="DEEAF6" w:themeFill="accent1" w:themeFillTint="33"/>
            <w:vAlign w:val="center"/>
          </w:tcPr>
          <w:p w14:paraId="30D91EBF"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147D5B2F" w14:textId="3E9653F7" w:rsidR="00841E6F" w:rsidRPr="00EB146C" w:rsidRDefault="001240BC"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 xml:space="preserve"> </w:t>
            </w:r>
            <w:r w:rsidR="00D52BA9">
              <w:rPr>
                <w:rFonts w:ascii="Arial" w:eastAsia="Batang" w:hAnsi="Arial" w:cs="Arial"/>
                <w:bCs/>
                <w:sz w:val="20"/>
                <w:szCs w:val="20"/>
                <w:lang w:val="en-GB"/>
              </w:rPr>
              <w:t>Region</w:t>
            </w:r>
          </w:p>
        </w:tc>
        <w:tc>
          <w:tcPr>
            <w:tcW w:w="5179" w:type="dxa"/>
            <w:vAlign w:val="center"/>
          </w:tcPr>
          <w:p w14:paraId="281FCCBA" w14:textId="68EFAEB2" w:rsidR="00841E6F" w:rsidRPr="00EB146C" w:rsidRDefault="001240BC"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County Donegal</w:t>
            </w:r>
          </w:p>
        </w:tc>
      </w:tr>
      <w:tr w:rsidR="00841E6F" w:rsidRPr="00457EEC" w14:paraId="4431EC92" w14:textId="77777777" w:rsidTr="0004650D">
        <w:trPr>
          <w:trHeight w:val="232"/>
        </w:trPr>
        <w:tc>
          <w:tcPr>
            <w:tcW w:w="3397" w:type="dxa"/>
            <w:vMerge/>
            <w:shd w:val="clear" w:color="auto" w:fill="DEEAF6" w:themeFill="accent1" w:themeFillTint="33"/>
            <w:vAlign w:val="center"/>
          </w:tcPr>
          <w:p w14:paraId="31BA7CC9"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5A51F51F" w14:textId="7777777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153598C1" w14:textId="25247619" w:rsidR="00841E6F" w:rsidRPr="00EB146C" w:rsidRDefault="001C2B71"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Lifford</w:t>
            </w:r>
          </w:p>
        </w:tc>
      </w:tr>
    </w:tbl>
    <w:p w14:paraId="4A4D6951" w14:textId="77777777" w:rsidR="002976C1" w:rsidRDefault="002976C1" w:rsidP="00DC6BB4">
      <w:pPr>
        <w:rPr>
          <w:rFonts w:eastAsia="Batang"/>
          <w:lang w:val="en-GB"/>
        </w:rPr>
      </w:pPr>
    </w:p>
    <w:p w14:paraId="16CE1ED2" w14:textId="77777777" w:rsidR="002976C1" w:rsidRDefault="002976C1">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41E6F" w:rsidRPr="00457EEC" w14:paraId="010EA14C" w14:textId="77777777" w:rsidTr="0004650D">
        <w:trPr>
          <w:trHeight w:val="232"/>
        </w:trPr>
        <w:tc>
          <w:tcPr>
            <w:tcW w:w="9918" w:type="dxa"/>
            <w:gridSpan w:val="2"/>
            <w:shd w:val="clear" w:color="auto" w:fill="DEEAF6" w:themeFill="accent1" w:themeFillTint="33"/>
            <w:vAlign w:val="center"/>
          </w:tcPr>
          <w:p w14:paraId="7C812252" w14:textId="77777777" w:rsidR="00841E6F" w:rsidRPr="00EA3273" w:rsidRDefault="00EA3273" w:rsidP="00AC488B">
            <w:pPr>
              <w:pStyle w:val="ListParagraph"/>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Detailed d</w:t>
            </w:r>
            <w:r w:rsidR="00841E6F" w:rsidRPr="00EA3273">
              <w:rPr>
                <w:rFonts w:ascii="Arial" w:eastAsia="Batang" w:hAnsi="Arial" w:cs="Arial"/>
                <w:b/>
                <w:bCs/>
                <w:sz w:val="20"/>
                <w:szCs w:val="20"/>
                <w:lang w:val="en-GB"/>
              </w:rPr>
              <w:t xml:space="preserve">escription </w:t>
            </w:r>
          </w:p>
        </w:tc>
      </w:tr>
      <w:tr w:rsidR="00381A23" w:rsidRPr="00457EEC" w14:paraId="557A0DA7" w14:textId="77777777" w:rsidTr="002976C1">
        <w:trPr>
          <w:trHeight w:val="777"/>
        </w:trPr>
        <w:tc>
          <w:tcPr>
            <w:tcW w:w="3397" w:type="dxa"/>
            <w:shd w:val="clear" w:color="auto" w:fill="DEEAF6" w:themeFill="accent1" w:themeFillTint="33"/>
          </w:tcPr>
          <w:p w14:paraId="294E9DAD" w14:textId="77777777" w:rsidR="00381A23" w:rsidRDefault="00381A23"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r w:rsidR="00422421">
              <w:rPr>
                <w:rFonts w:ascii="Arial" w:eastAsia="Batang" w:hAnsi="Arial" w:cs="Arial"/>
                <w:b/>
                <w:bCs/>
                <w:sz w:val="20"/>
                <w:szCs w:val="20"/>
                <w:lang w:val="en-GB"/>
              </w:rPr>
              <w:t>:</w:t>
            </w:r>
          </w:p>
        </w:tc>
        <w:tc>
          <w:tcPr>
            <w:tcW w:w="6521" w:type="dxa"/>
          </w:tcPr>
          <w:p w14:paraId="628051F0" w14:textId="1376AEAC" w:rsidR="0063156A" w:rsidRPr="0063156A" w:rsidRDefault="0063156A" w:rsidP="0063156A">
            <w:pPr>
              <w:pStyle w:val="NormalWeb"/>
              <w:rPr>
                <w:rFonts w:asciiTheme="minorHAnsi" w:hAnsiTheme="minorHAnsi" w:cstheme="minorHAnsi"/>
                <w:sz w:val="18"/>
                <w:szCs w:val="18"/>
                <w:lang w:val="en-IE" w:eastAsia="en-IE"/>
              </w:rPr>
            </w:pPr>
            <w:r w:rsidRPr="0063156A">
              <w:rPr>
                <w:rFonts w:asciiTheme="minorHAnsi" w:hAnsiTheme="minorHAnsi" w:cstheme="minorHAnsi"/>
                <w:sz w:val="18"/>
                <w:szCs w:val="18"/>
              </w:rPr>
              <w:t>The Donegal Working Holiday campaign, led by Donegal County Council, promotes Donegal as a prime location for remote work by offering free digital hub passes to remote workers</w:t>
            </w:r>
            <w:r w:rsidR="001C2B71">
              <w:rPr>
                <w:rFonts w:asciiTheme="minorHAnsi" w:hAnsiTheme="minorHAnsi" w:cstheme="minorHAnsi"/>
                <w:sz w:val="18"/>
                <w:szCs w:val="18"/>
              </w:rPr>
              <w:t xml:space="preserve"> and digital nomads</w:t>
            </w:r>
            <w:r w:rsidRPr="0063156A">
              <w:rPr>
                <w:rFonts w:asciiTheme="minorHAnsi" w:hAnsiTheme="minorHAnsi" w:cstheme="minorHAnsi"/>
                <w:sz w:val="18"/>
                <w:szCs w:val="18"/>
              </w:rPr>
              <w:t>. This initiative gives participants access to 15 remote working hubs across Donegal, featuring high-speed connectivity and positioned amidst scenic spots on the Wild Atlantic Way. By doing so, the campaign aims to boost the local economy and showcase Donegal as an attractive destination for both tourists and potential long-term residents.</w:t>
            </w:r>
          </w:p>
          <w:p w14:paraId="2AB3285E" w14:textId="4B17A745" w:rsidR="00381A23" w:rsidRPr="001C2B71" w:rsidRDefault="0063156A" w:rsidP="001C2B71">
            <w:pPr>
              <w:pStyle w:val="NormalWeb"/>
              <w:rPr>
                <w:rFonts w:asciiTheme="minorHAnsi" w:hAnsiTheme="minorHAnsi" w:cstheme="minorHAnsi"/>
                <w:sz w:val="18"/>
                <w:szCs w:val="18"/>
              </w:rPr>
            </w:pPr>
            <w:r w:rsidRPr="0063156A">
              <w:rPr>
                <w:rFonts w:asciiTheme="minorHAnsi" w:hAnsiTheme="minorHAnsi" w:cstheme="minorHAnsi"/>
                <w:sz w:val="18"/>
                <w:szCs w:val="18"/>
              </w:rPr>
              <w:t xml:space="preserve">Donegal has invested significantly in its digital infrastructure through projects like Project Kelvin, enhancing the county’s appeal for digital nomads. The campaign is supported by organizations such as Donegal Digital, Grow Remote, and Connected Hubs, highlighting a growing network of remote work advocates within the community. </w:t>
            </w:r>
          </w:p>
          <w:p w14:paraId="4803D11C" w14:textId="77777777" w:rsidR="00791268" w:rsidRPr="00791268" w:rsidRDefault="00791268" w:rsidP="00791268">
            <w:pPr>
              <w:rPr>
                <w:rFonts w:ascii="Arial" w:eastAsia="Batang" w:hAnsi="Arial" w:cs="Arial"/>
                <w:sz w:val="16"/>
                <w:szCs w:val="16"/>
                <w:lang w:val="en-GB"/>
              </w:rPr>
            </w:pPr>
          </w:p>
        </w:tc>
      </w:tr>
      <w:tr w:rsidR="00841E6F" w:rsidRPr="00457EEC" w14:paraId="49B6BD68" w14:textId="77777777" w:rsidTr="002976C1">
        <w:trPr>
          <w:trHeight w:val="2943"/>
        </w:trPr>
        <w:tc>
          <w:tcPr>
            <w:tcW w:w="3397" w:type="dxa"/>
            <w:shd w:val="clear" w:color="auto" w:fill="DEEAF6" w:themeFill="accent1" w:themeFillTint="33"/>
          </w:tcPr>
          <w:p w14:paraId="466AA62B"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r w:rsidR="00422421">
              <w:rPr>
                <w:rFonts w:ascii="Arial" w:eastAsia="Batang" w:hAnsi="Arial" w:cs="Arial"/>
                <w:b/>
                <w:bCs/>
                <w:sz w:val="20"/>
                <w:szCs w:val="20"/>
                <w:lang w:val="en-GB"/>
              </w:rPr>
              <w:t>:</w:t>
            </w:r>
          </w:p>
          <w:p w14:paraId="0475AC0C" w14:textId="77777777" w:rsidR="00841E6F" w:rsidRDefault="00841E6F" w:rsidP="007713A2">
            <w:pPr>
              <w:spacing w:before="60" w:after="60"/>
              <w:rPr>
                <w:rFonts w:ascii="Arial" w:eastAsia="Batang" w:hAnsi="Arial" w:cs="Arial"/>
                <w:b/>
                <w:bCs/>
                <w:sz w:val="20"/>
                <w:szCs w:val="20"/>
                <w:lang w:val="en-GB"/>
              </w:rPr>
            </w:pPr>
          </w:p>
        </w:tc>
        <w:tc>
          <w:tcPr>
            <w:tcW w:w="6521" w:type="dxa"/>
          </w:tcPr>
          <w:p w14:paraId="055C1B00" w14:textId="393DEA95" w:rsidR="00A675B3" w:rsidRPr="00A675B3" w:rsidRDefault="00A675B3" w:rsidP="00A675B3">
            <w:pPr>
              <w:pStyle w:val="NormalWeb"/>
              <w:rPr>
                <w:rFonts w:asciiTheme="minorHAnsi" w:hAnsiTheme="minorHAnsi" w:cstheme="minorHAnsi"/>
                <w:sz w:val="18"/>
                <w:szCs w:val="18"/>
                <w:lang w:val="en-IE" w:eastAsia="en-IE"/>
              </w:rPr>
            </w:pPr>
            <w:r w:rsidRPr="00A675B3">
              <w:rPr>
                <w:rFonts w:asciiTheme="minorHAnsi" w:hAnsiTheme="minorHAnsi" w:cstheme="minorHAnsi"/>
                <w:sz w:val="18"/>
                <w:szCs w:val="18"/>
              </w:rPr>
              <w:t>The Donegal Working Holiday campaign was launched to promote Donegal as an attractive destination for remote workers</w:t>
            </w:r>
            <w:r w:rsidR="001C2B71">
              <w:rPr>
                <w:rFonts w:asciiTheme="minorHAnsi" w:hAnsiTheme="minorHAnsi" w:cstheme="minorHAnsi"/>
                <w:sz w:val="18"/>
                <w:szCs w:val="18"/>
              </w:rPr>
              <w:t xml:space="preserve"> and digital nomads</w:t>
            </w:r>
            <w:r w:rsidRPr="00A675B3">
              <w:rPr>
                <w:rFonts w:asciiTheme="minorHAnsi" w:hAnsiTheme="minorHAnsi" w:cstheme="minorHAnsi"/>
                <w:sz w:val="18"/>
                <w:szCs w:val="18"/>
              </w:rPr>
              <w:t xml:space="preserve">. The initiative, led by Donegal County Council in partnership with various digital hubs, offers free day passes to remote workers who want to experience Donegal’s work-friendly environment and scenic charm. Remote workers </w:t>
            </w:r>
            <w:r w:rsidR="001C2B71">
              <w:rPr>
                <w:rFonts w:asciiTheme="minorHAnsi" w:hAnsiTheme="minorHAnsi" w:cstheme="minorHAnsi"/>
                <w:sz w:val="18"/>
                <w:szCs w:val="18"/>
              </w:rPr>
              <w:t xml:space="preserve">and digital nomads </w:t>
            </w:r>
            <w:r w:rsidRPr="00A675B3">
              <w:rPr>
                <w:rFonts w:asciiTheme="minorHAnsi" w:hAnsiTheme="minorHAnsi" w:cstheme="minorHAnsi"/>
                <w:sz w:val="18"/>
                <w:szCs w:val="18"/>
              </w:rPr>
              <w:t>can register online to access digital hubs in 11 locations across Donegal, ranging from coastal to rural sites.</w:t>
            </w:r>
          </w:p>
          <w:p w14:paraId="398478E3" w14:textId="77777777" w:rsidR="00A675B3"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The campaign emphasizes Donegal's strong digital infrastructure, developed through initiatives like Project Kelvin, which provides high-speed connectivity essential for remote work. Alongside stunning natural scenery, quality of life, and a vibrant cultural scene, Donegal County Council hopes the campaign will attract digital nomads and potentially inspire them to make Donegal a permanent base. The campaign also benefits local communities and businesses, as remote workers contribute to the local economy during their stay.</w:t>
            </w:r>
          </w:p>
          <w:p w14:paraId="3155F578" w14:textId="687C26A8" w:rsidR="00791268"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This working holiday project aligns with Donegal’s broader goals for regional growth, especially by leveraging digital infrastructure to encourage new ways of living and working in the county. It’s seen as a model for future tourism and investment strategies, aimed at turning Donegal’s visitors into long-term residents or investors in the local economy.</w:t>
            </w:r>
            <w:r w:rsidR="001C2B71">
              <w:rPr>
                <w:rFonts w:asciiTheme="minorHAnsi" w:hAnsiTheme="minorHAnsi" w:cstheme="minorHAnsi"/>
                <w:sz w:val="18"/>
                <w:szCs w:val="18"/>
              </w:rPr>
              <w:br/>
            </w:r>
          </w:p>
        </w:tc>
      </w:tr>
      <w:tr w:rsidR="00841E6F" w:rsidRPr="00EA3273" w14:paraId="6037DBD2" w14:textId="77777777" w:rsidTr="0004650D">
        <w:trPr>
          <w:trHeight w:val="232"/>
        </w:trPr>
        <w:tc>
          <w:tcPr>
            <w:tcW w:w="3397" w:type="dxa"/>
            <w:shd w:val="clear" w:color="auto" w:fill="DEEAF6" w:themeFill="accent1" w:themeFillTint="33"/>
            <w:vAlign w:val="center"/>
          </w:tcPr>
          <w:p w14:paraId="028D1D32" w14:textId="77777777" w:rsidR="00841E6F" w:rsidRDefault="00841E6F"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Resources needed</w:t>
            </w:r>
            <w:r w:rsidR="00422421">
              <w:rPr>
                <w:rFonts w:ascii="Arial" w:eastAsia="Batang" w:hAnsi="Arial" w:cs="Arial"/>
                <w:b/>
                <w:bCs/>
                <w:sz w:val="20"/>
                <w:szCs w:val="20"/>
                <w:lang w:val="en-GB"/>
              </w:rPr>
              <w:t>:</w:t>
            </w:r>
          </w:p>
        </w:tc>
        <w:tc>
          <w:tcPr>
            <w:tcW w:w="6521" w:type="dxa"/>
            <w:vAlign w:val="center"/>
          </w:tcPr>
          <w:p w14:paraId="7C5D516B" w14:textId="77777777" w:rsidR="00A675B3" w:rsidRPr="00A675B3" w:rsidRDefault="00A675B3" w:rsidP="00A675B3">
            <w:pPr>
              <w:pStyle w:val="NormalWeb"/>
              <w:rPr>
                <w:rFonts w:asciiTheme="minorHAnsi" w:hAnsiTheme="minorHAnsi" w:cstheme="minorHAnsi"/>
                <w:sz w:val="18"/>
                <w:szCs w:val="18"/>
                <w:lang w:val="en-IE" w:eastAsia="en-IE"/>
              </w:rPr>
            </w:pPr>
            <w:r w:rsidRPr="00A675B3">
              <w:rPr>
                <w:rFonts w:asciiTheme="minorHAnsi" w:hAnsiTheme="minorHAnsi" w:cstheme="minorHAnsi"/>
                <w:sz w:val="18"/>
                <w:szCs w:val="18"/>
              </w:rPr>
              <w:t>The Donegal Working Holiday campaign required several types of resources to ensure its successful implementation:</w:t>
            </w:r>
          </w:p>
          <w:p w14:paraId="23096FB5" w14:textId="77BA03A8"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Digital Infrastructure</w:t>
            </w:r>
            <w:r w:rsidRPr="00A675B3">
              <w:rPr>
                <w:rFonts w:asciiTheme="minorHAnsi" w:hAnsiTheme="minorHAnsi" w:cstheme="minorHAnsi"/>
                <w:sz w:val="18"/>
                <w:szCs w:val="18"/>
              </w:rPr>
              <w:t xml:space="preserve">: High-speed internet connectivity is critical, especially in remote or rural areas. Donegal has invested in its digital infrastructure over the years, with projects like Project Kelvin providing </w:t>
            </w:r>
            <w:proofErr w:type="spellStart"/>
            <w:r w:rsidRPr="00A675B3">
              <w:rPr>
                <w:rFonts w:asciiTheme="minorHAnsi" w:hAnsiTheme="minorHAnsi" w:cstheme="minorHAnsi"/>
                <w:sz w:val="18"/>
                <w:szCs w:val="18"/>
              </w:rPr>
              <w:t>fiber</w:t>
            </w:r>
            <w:proofErr w:type="spellEnd"/>
            <w:r w:rsidRPr="00A675B3">
              <w:rPr>
                <w:rFonts w:asciiTheme="minorHAnsi" w:hAnsiTheme="minorHAnsi" w:cstheme="minorHAnsi"/>
                <w:sz w:val="18"/>
                <w:szCs w:val="18"/>
              </w:rPr>
              <w:t>-optic connectivity. Additional funding for expanding or enhancing digital hubs was also essential to support remote work requirements​</w:t>
            </w:r>
            <w:r>
              <w:rPr>
                <w:rFonts w:asciiTheme="minorHAnsi" w:hAnsiTheme="minorHAnsi" w:cstheme="minorHAnsi"/>
                <w:sz w:val="18"/>
                <w:szCs w:val="18"/>
              </w:rPr>
              <w:t>.</w:t>
            </w:r>
          </w:p>
          <w:p w14:paraId="0FFA3B16" w14:textId="397AA9AF"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Physical Workspace Development</w:t>
            </w:r>
            <w:r w:rsidRPr="00A675B3">
              <w:rPr>
                <w:rFonts w:asciiTheme="minorHAnsi" w:hAnsiTheme="minorHAnsi" w:cstheme="minorHAnsi"/>
                <w:sz w:val="18"/>
                <w:szCs w:val="18"/>
              </w:rPr>
              <w:t>: The initiative relies on a network of co-working spaces across Donegal. This required investment in setting up, maintaining, and marketing these hubs as remote-friendly environments. Donegal County Council collaborated with existing digital hubs and remote work advocates, such as Grow Remote and Connected Hubs, to manage and promote these spaces​.</w:t>
            </w:r>
          </w:p>
          <w:p w14:paraId="4644A6E1" w14:textId="6B56450A"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Marketing and Promotion</w:t>
            </w:r>
            <w:r w:rsidRPr="00A675B3">
              <w:rPr>
                <w:rFonts w:asciiTheme="minorHAnsi" w:hAnsiTheme="minorHAnsi" w:cstheme="minorHAnsi"/>
                <w:sz w:val="18"/>
                <w:szCs w:val="18"/>
              </w:rPr>
              <w:t xml:space="preserve">: Donegal County Council allocated resources for targeted marketing campaigns. This included creating digital content, using social media, and reaching out through Donegal’s tourism channels. The </w:t>
            </w:r>
            <w:r w:rsidRPr="00A675B3">
              <w:rPr>
                <w:rFonts w:asciiTheme="minorHAnsi" w:hAnsiTheme="minorHAnsi" w:cstheme="minorHAnsi"/>
                <w:sz w:val="18"/>
                <w:szCs w:val="18"/>
              </w:rPr>
              <w:lastRenderedPageBreak/>
              <w:t>campaign also needed branding elements, including dedicated hashtags (#WorkHolDL and #ObairSaoireDL), to build visibility online​.</w:t>
            </w:r>
          </w:p>
          <w:p w14:paraId="10A553F0" w14:textId="46499194"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Staff and Management</w:t>
            </w:r>
            <w:r w:rsidRPr="00A675B3">
              <w:rPr>
                <w:rFonts w:asciiTheme="minorHAnsi" w:hAnsiTheme="minorHAnsi" w:cstheme="minorHAnsi"/>
                <w:sz w:val="18"/>
                <w:szCs w:val="18"/>
              </w:rPr>
              <w:t>: Managing registrations, handling inquiries, and coordinating with digital hubs required staff and administrative resources. This included personnel at Donegal County Council and within the participating hubs to ensure smooth operations and support for remote workers</w:t>
            </w:r>
            <w:r w:rsidR="001C2B71">
              <w:rPr>
                <w:rFonts w:asciiTheme="minorHAnsi" w:hAnsiTheme="minorHAnsi" w:cstheme="minorHAnsi"/>
                <w:sz w:val="18"/>
                <w:szCs w:val="18"/>
              </w:rPr>
              <w:t xml:space="preserve"> and digital nomads</w:t>
            </w:r>
            <w:r w:rsidRPr="00A675B3">
              <w:rPr>
                <w:rFonts w:asciiTheme="minorHAnsi" w:hAnsiTheme="minorHAnsi" w:cstheme="minorHAnsi"/>
                <w:sz w:val="18"/>
                <w:szCs w:val="18"/>
              </w:rPr>
              <w:t xml:space="preserve"> during their stays​.</w:t>
            </w:r>
          </w:p>
          <w:p w14:paraId="53C32F9C" w14:textId="49E48948"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Partnerships and Sponsorships</w:t>
            </w:r>
            <w:r w:rsidRPr="00A675B3">
              <w:rPr>
                <w:rFonts w:asciiTheme="minorHAnsi" w:hAnsiTheme="minorHAnsi" w:cstheme="minorHAnsi"/>
                <w:sz w:val="18"/>
                <w:szCs w:val="18"/>
              </w:rPr>
              <w:t xml:space="preserve">: Collaborations with remote working advocates and platforms helped amplify the campaign's reach. These partnerships provided additional support and resources without solely relying on council funding. Involving stakeholders like </w:t>
            </w:r>
            <w:r>
              <w:rPr>
                <w:rFonts w:asciiTheme="minorHAnsi" w:hAnsiTheme="minorHAnsi" w:cstheme="minorHAnsi"/>
                <w:sz w:val="18"/>
                <w:szCs w:val="18"/>
              </w:rPr>
              <w:t xml:space="preserve">the Donegal hubs forum, </w:t>
            </w:r>
            <w:r w:rsidRPr="00A675B3">
              <w:rPr>
                <w:rFonts w:asciiTheme="minorHAnsi" w:hAnsiTheme="minorHAnsi" w:cstheme="minorHAnsi"/>
                <w:sz w:val="18"/>
                <w:szCs w:val="18"/>
              </w:rPr>
              <w:t>Donegal Digital and local tourism boards allowed for a more comprehensive approach to attracting and supporting remote workers</w:t>
            </w:r>
            <w:r w:rsidR="001C2B71">
              <w:rPr>
                <w:rFonts w:asciiTheme="minorHAnsi" w:hAnsiTheme="minorHAnsi" w:cstheme="minorHAnsi"/>
                <w:sz w:val="18"/>
                <w:szCs w:val="18"/>
              </w:rPr>
              <w:t xml:space="preserve"> and digital nomads</w:t>
            </w:r>
            <w:r w:rsidRPr="00A675B3">
              <w:rPr>
                <w:rFonts w:asciiTheme="minorHAnsi" w:hAnsiTheme="minorHAnsi" w:cstheme="minorHAnsi"/>
                <w:sz w:val="18"/>
                <w:szCs w:val="18"/>
              </w:rPr>
              <w:t>​.</w:t>
            </w:r>
          </w:p>
          <w:p w14:paraId="02065B14" w14:textId="2A85AAC0" w:rsidR="00A675B3" w:rsidRPr="00A675B3" w:rsidRDefault="00A675B3" w:rsidP="00A675B3">
            <w:pPr>
              <w:pStyle w:val="NormalWeb"/>
              <w:numPr>
                <w:ilvl w:val="0"/>
                <w:numId w:val="25"/>
              </w:numPr>
              <w:rPr>
                <w:rFonts w:asciiTheme="minorHAnsi" w:hAnsiTheme="minorHAnsi" w:cstheme="minorHAnsi"/>
                <w:sz w:val="18"/>
                <w:szCs w:val="18"/>
              </w:rPr>
            </w:pPr>
            <w:r w:rsidRPr="00A675B3">
              <w:rPr>
                <w:rStyle w:val="Strong"/>
                <w:rFonts w:asciiTheme="minorHAnsi" w:hAnsiTheme="minorHAnsi" w:cstheme="minorHAnsi"/>
                <w:sz w:val="18"/>
                <w:szCs w:val="18"/>
              </w:rPr>
              <w:t>Local Business and Community Involvement</w:t>
            </w:r>
            <w:r w:rsidRPr="00A675B3">
              <w:rPr>
                <w:rFonts w:asciiTheme="minorHAnsi" w:hAnsiTheme="minorHAnsi" w:cstheme="minorHAnsi"/>
                <w:sz w:val="18"/>
                <w:szCs w:val="18"/>
              </w:rPr>
              <w:t>: To maximize the initiative's economic impact, local businesses and community groups were engaged to provide services and opportunities for remote workers</w:t>
            </w:r>
            <w:r w:rsidR="001C2B71">
              <w:rPr>
                <w:rFonts w:asciiTheme="minorHAnsi" w:hAnsiTheme="minorHAnsi" w:cstheme="minorHAnsi"/>
                <w:sz w:val="18"/>
                <w:szCs w:val="18"/>
              </w:rPr>
              <w:t xml:space="preserve"> and digital nomads</w:t>
            </w:r>
            <w:r w:rsidRPr="00A675B3">
              <w:rPr>
                <w:rFonts w:asciiTheme="minorHAnsi" w:hAnsiTheme="minorHAnsi" w:cstheme="minorHAnsi"/>
                <w:sz w:val="18"/>
                <w:szCs w:val="18"/>
              </w:rPr>
              <w:t>. This included promotions or discounts to encourage remote workers</w:t>
            </w:r>
            <w:r w:rsidR="001C2B71">
              <w:rPr>
                <w:rFonts w:asciiTheme="minorHAnsi" w:hAnsiTheme="minorHAnsi" w:cstheme="minorHAnsi"/>
                <w:sz w:val="18"/>
                <w:szCs w:val="18"/>
              </w:rPr>
              <w:t xml:space="preserve"> and digital nomads</w:t>
            </w:r>
            <w:r w:rsidRPr="00A675B3">
              <w:rPr>
                <w:rFonts w:asciiTheme="minorHAnsi" w:hAnsiTheme="minorHAnsi" w:cstheme="minorHAnsi"/>
                <w:sz w:val="18"/>
                <w:szCs w:val="18"/>
              </w:rPr>
              <w:t xml:space="preserve"> to explore Donegal’s amenities and cultural sites, further supporting the local economy.</w:t>
            </w:r>
          </w:p>
          <w:p w14:paraId="48E0B4DA" w14:textId="7C8FC734" w:rsidR="00A675B3" w:rsidRPr="00A675B3" w:rsidRDefault="00A675B3" w:rsidP="00A675B3">
            <w:pPr>
              <w:pStyle w:val="NormalWeb"/>
              <w:rPr>
                <w:rFonts w:asciiTheme="minorHAnsi" w:hAnsiTheme="minorHAnsi" w:cstheme="minorHAnsi"/>
                <w:sz w:val="18"/>
                <w:szCs w:val="18"/>
              </w:rPr>
            </w:pPr>
            <w:r w:rsidRPr="00A675B3">
              <w:rPr>
                <w:rFonts w:asciiTheme="minorHAnsi" w:hAnsiTheme="minorHAnsi" w:cstheme="minorHAnsi"/>
                <w:sz w:val="18"/>
                <w:szCs w:val="18"/>
              </w:rPr>
              <w:t>These resources reflect a holistic approach, integrating infrastructure, workspace development, marketing, partnerships, and community engagement, ensuring the campaign’s effectiveness in attracting remote workers</w:t>
            </w:r>
            <w:r w:rsidR="001C2B71">
              <w:rPr>
                <w:rFonts w:asciiTheme="minorHAnsi" w:hAnsiTheme="minorHAnsi" w:cstheme="minorHAnsi"/>
                <w:sz w:val="18"/>
                <w:szCs w:val="18"/>
              </w:rPr>
              <w:t xml:space="preserve"> and digital nomads while</w:t>
            </w:r>
            <w:r w:rsidRPr="00A675B3">
              <w:rPr>
                <w:rFonts w:asciiTheme="minorHAnsi" w:hAnsiTheme="minorHAnsi" w:cstheme="minorHAnsi"/>
                <w:sz w:val="18"/>
                <w:szCs w:val="18"/>
              </w:rPr>
              <w:t xml:space="preserve"> supporting the local economy.</w:t>
            </w:r>
          </w:p>
          <w:p w14:paraId="5D960B2E" w14:textId="77777777" w:rsidR="00DD2326" w:rsidRPr="00A675B3" w:rsidRDefault="00DD2326" w:rsidP="00EA3273">
            <w:pPr>
              <w:spacing w:before="60" w:after="60"/>
              <w:rPr>
                <w:rFonts w:asciiTheme="minorHAnsi" w:eastAsia="Batang" w:hAnsiTheme="minorHAnsi" w:cstheme="minorHAnsi"/>
                <w:bCs/>
                <w:i/>
                <w:sz w:val="18"/>
                <w:szCs w:val="18"/>
                <w:lang w:val="en-GB"/>
              </w:rPr>
            </w:pPr>
          </w:p>
        </w:tc>
      </w:tr>
      <w:tr w:rsidR="00841E6F" w:rsidRPr="00457EEC" w14:paraId="4EFFA945" w14:textId="77777777" w:rsidTr="0004650D">
        <w:trPr>
          <w:trHeight w:val="232"/>
        </w:trPr>
        <w:tc>
          <w:tcPr>
            <w:tcW w:w="3397" w:type="dxa"/>
            <w:shd w:val="clear" w:color="auto" w:fill="DEEAF6" w:themeFill="accent1" w:themeFillTint="33"/>
            <w:vAlign w:val="center"/>
          </w:tcPr>
          <w:p w14:paraId="59F8E7A5"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Timescale (start/end date)</w:t>
            </w:r>
            <w:r w:rsidR="00422421">
              <w:rPr>
                <w:rFonts w:ascii="Arial" w:eastAsia="Batang" w:hAnsi="Arial" w:cs="Arial"/>
                <w:b/>
                <w:bCs/>
                <w:sz w:val="20"/>
                <w:szCs w:val="20"/>
                <w:lang w:val="en-GB"/>
              </w:rPr>
              <w:t>:</w:t>
            </w:r>
          </w:p>
        </w:tc>
        <w:tc>
          <w:tcPr>
            <w:tcW w:w="6521" w:type="dxa"/>
            <w:vAlign w:val="center"/>
          </w:tcPr>
          <w:p w14:paraId="3CDB9569" w14:textId="19005AF7" w:rsidR="00841E6F" w:rsidRPr="008A352D" w:rsidRDefault="00791268" w:rsidP="0004650D">
            <w:pPr>
              <w:spacing w:before="60" w:after="60"/>
              <w:rPr>
                <w:rFonts w:asciiTheme="minorHAnsi" w:eastAsia="Batang" w:hAnsiTheme="minorHAnsi" w:cstheme="minorHAnsi"/>
                <w:bCs/>
                <w:sz w:val="18"/>
                <w:szCs w:val="18"/>
                <w:lang w:val="en-GB"/>
              </w:rPr>
            </w:pPr>
            <w:r w:rsidRPr="008A352D">
              <w:rPr>
                <w:rFonts w:asciiTheme="minorHAnsi" w:eastAsia="Batang" w:hAnsiTheme="minorHAnsi" w:cstheme="minorHAnsi"/>
                <w:bCs/>
                <w:sz w:val="18"/>
                <w:szCs w:val="18"/>
                <w:lang w:val="en-GB"/>
              </w:rPr>
              <w:t xml:space="preserve">2021 – Present. </w:t>
            </w:r>
          </w:p>
        </w:tc>
      </w:tr>
      <w:tr w:rsidR="00841E6F" w:rsidRPr="00457EEC" w14:paraId="64A7986C" w14:textId="77777777" w:rsidTr="0004650D">
        <w:trPr>
          <w:trHeight w:val="232"/>
        </w:trPr>
        <w:tc>
          <w:tcPr>
            <w:tcW w:w="3397" w:type="dxa"/>
            <w:shd w:val="clear" w:color="auto" w:fill="DEEAF6" w:themeFill="accent1" w:themeFillTint="33"/>
            <w:vAlign w:val="center"/>
          </w:tcPr>
          <w:p w14:paraId="410DAAE3" w14:textId="77777777" w:rsidR="00841E6F" w:rsidRDefault="00841E6F" w:rsidP="007713A2">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r w:rsidR="00422421">
              <w:rPr>
                <w:rFonts w:ascii="Arial" w:eastAsia="Batang" w:hAnsi="Arial" w:cs="Arial"/>
                <w:b/>
                <w:bCs/>
                <w:sz w:val="20"/>
                <w:szCs w:val="20"/>
                <w:lang w:val="en-GB"/>
              </w:rPr>
              <w:t>:</w:t>
            </w:r>
          </w:p>
        </w:tc>
        <w:tc>
          <w:tcPr>
            <w:tcW w:w="6521" w:type="dxa"/>
            <w:vAlign w:val="center"/>
          </w:tcPr>
          <w:p w14:paraId="65808D62" w14:textId="77777777" w:rsidR="00A675B3" w:rsidRPr="00A675B3" w:rsidRDefault="00A675B3" w:rsidP="00A675B3">
            <w:pPr>
              <w:pStyle w:val="NormalWeb"/>
              <w:rPr>
                <w:rFonts w:asciiTheme="minorHAnsi" w:hAnsiTheme="minorHAnsi" w:cstheme="minorHAnsi"/>
                <w:sz w:val="16"/>
                <w:szCs w:val="16"/>
                <w:lang w:val="en-IE" w:eastAsia="en-IE"/>
              </w:rPr>
            </w:pPr>
            <w:r w:rsidRPr="00A675B3">
              <w:rPr>
                <w:rFonts w:asciiTheme="minorHAnsi" w:hAnsiTheme="minorHAnsi" w:cstheme="minorHAnsi"/>
                <w:sz w:val="16"/>
                <w:szCs w:val="16"/>
              </w:rPr>
              <w:t>The Donegal Working Holiday campaign has shown promising signs of success through the following indicators:</w:t>
            </w:r>
          </w:p>
          <w:p w14:paraId="47A28077" w14:textId="161BBA5A"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Increased Hub Utilization</w:t>
            </w:r>
            <w:r w:rsidRPr="00A675B3">
              <w:rPr>
                <w:rFonts w:asciiTheme="minorHAnsi" w:hAnsiTheme="minorHAnsi" w:cstheme="minorHAnsi"/>
                <w:sz w:val="16"/>
                <w:szCs w:val="16"/>
              </w:rPr>
              <w:t>: Digital hubs in Donegal reported a noticeable increase in usage following the launch of the campaign. This higher utilization suggests that the initiative successfully attracted remote workers</w:t>
            </w:r>
            <w:r w:rsidR="001C2B71">
              <w:rPr>
                <w:rFonts w:asciiTheme="minorHAnsi" w:hAnsiTheme="minorHAnsi" w:cstheme="minorHAnsi"/>
                <w:sz w:val="16"/>
                <w:szCs w:val="16"/>
              </w:rPr>
              <w:t xml:space="preserve"> and digital nomads</w:t>
            </w:r>
            <w:r w:rsidRPr="00A675B3">
              <w:rPr>
                <w:rFonts w:asciiTheme="minorHAnsi" w:hAnsiTheme="minorHAnsi" w:cstheme="minorHAnsi"/>
                <w:sz w:val="16"/>
                <w:szCs w:val="16"/>
              </w:rPr>
              <w:t>, both local and international, who wanted to experience working in Donegal’s unique setting​.</w:t>
            </w:r>
            <w:r w:rsidR="00B27236">
              <w:rPr>
                <w:rFonts w:asciiTheme="minorHAnsi" w:hAnsiTheme="minorHAnsi" w:cstheme="minorHAnsi"/>
                <w:sz w:val="16"/>
                <w:szCs w:val="16"/>
              </w:rPr>
              <w:t xml:space="preserve"> Over 500 additional hub users made use of the voucher, which were available throughout the campaign which had a significant impact on the hubs across the county. This feedback was also gathered by the campaign team from the hub managers and Western Development Commission. </w:t>
            </w:r>
          </w:p>
          <w:p w14:paraId="7F2D6A41" w14:textId="724E422B"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Positive Feedback and Social Media Engagement</w:t>
            </w:r>
            <w:r w:rsidRPr="00A675B3">
              <w:rPr>
                <w:rFonts w:asciiTheme="minorHAnsi" w:hAnsiTheme="minorHAnsi" w:cstheme="minorHAnsi"/>
                <w:sz w:val="16"/>
                <w:szCs w:val="16"/>
              </w:rPr>
              <w:t>: The campaign generated significant social media engagement under hashtags #WorkHolDL and #ObairSaoireDL, with users sharing their experiences and highlights from Donegal. This response demonstrates a strong online presence, helping to build Donegal’s reputation as a remote working destination​.</w:t>
            </w:r>
            <w:r w:rsidR="00B27236">
              <w:rPr>
                <w:rFonts w:asciiTheme="minorHAnsi" w:hAnsiTheme="minorHAnsi" w:cstheme="minorHAnsi"/>
                <w:sz w:val="16"/>
                <w:szCs w:val="16"/>
              </w:rPr>
              <w:t xml:space="preserve"> This feedback was gathered from the stakeholders involved including the digital hubs in the region, connected hubs, and Donegal County Council. </w:t>
            </w:r>
          </w:p>
          <w:p w14:paraId="1ED3EF2D" w14:textId="4AB7681B"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Support from Business and Community Stakeholders</w:t>
            </w:r>
            <w:r w:rsidRPr="00A675B3">
              <w:rPr>
                <w:rFonts w:asciiTheme="minorHAnsi" w:hAnsiTheme="minorHAnsi" w:cstheme="minorHAnsi"/>
                <w:sz w:val="16"/>
                <w:szCs w:val="16"/>
              </w:rPr>
              <w:t>: Local businesses and communities reported economic benefits due to the increased presence of</w:t>
            </w:r>
            <w:r w:rsidR="00B27236">
              <w:rPr>
                <w:rFonts w:asciiTheme="minorHAnsi" w:hAnsiTheme="minorHAnsi" w:cstheme="minorHAnsi"/>
                <w:sz w:val="16"/>
                <w:szCs w:val="16"/>
              </w:rPr>
              <w:t xml:space="preserve"> approximately 500 additional</w:t>
            </w:r>
            <w:r w:rsidRPr="00A675B3">
              <w:rPr>
                <w:rFonts w:asciiTheme="minorHAnsi" w:hAnsiTheme="minorHAnsi" w:cstheme="minorHAnsi"/>
                <w:sz w:val="16"/>
                <w:szCs w:val="16"/>
              </w:rPr>
              <w:t xml:space="preserve"> remote workers</w:t>
            </w:r>
            <w:r w:rsidR="001C2B71">
              <w:rPr>
                <w:rFonts w:asciiTheme="minorHAnsi" w:hAnsiTheme="minorHAnsi" w:cstheme="minorHAnsi"/>
                <w:sz w:val="16"/>
                <w:szCs w:val="16"/>
              </w:rPr>
              <w:t xml:space="preserve"> and digital nomads</w:t>
            </w:r>
            <w:r w:rsidR="00B27236">
              <w:rPr>
                <w:rFonts w:asciiTheme="minorHAnsi" w:hAnsiTheme="minorHAnsi" w:cstheme="minorHAnsi"/>
                <w:sz w:val="16"/>
                <w:szCs w:val="16"/>
              </w:rPr>
              <w:t xml:space="preserve"> in the region who utilised the vouchers</w:t>
            </w:r>
            <w:r w:rsidRPr="00A675B3">
              <w:rPr>
                <w:rFonts w:asciiTheme="minorHAnsi" w:hAnsiTheme="minorHAnsi" w:cstheme="minorHAnsi"/>
                <w:sz w:val="16"/>
                <w:szCs w:val="16"/>
              </w:rPr>
              <w:t>. This boost in tourism spending is a key indicator of success, showing how the initiative positively impacted the local economy​.</w:t>
            </w:r>
          </w:p>
          <w:p w14:paraId="6776EB82" w14:textId="6A85A448" w:rsidR="00A675B3" w:rsidRPr="00A675B3" w:rsidRDefault="00A675B3" w:rsidP="00A675B3">
            <w:pPr>
              <w:pStyle w:val="NormalWeb"/>
              <w:numPr>
                <w:ilvl w:val="0"/>
                <w:numId w:val="26"/>
              </w:numPr>
              <w:rPr>
                <w:rFonts w:asciiTheme="minorHAnsi" w:hAnsiTheme="minorHAnsi" w:cstheme="minorHAnsi"/>
                <w:sz w:val="16"/>
                <w:szCs w:val="16"/>
              </w:rPr>
            </w:pPr>
            <w:r w:rsidRPr="00A675B3">
              <w:rPr>
                <w:rStyle w:val="Strong"/>
                <w:rFonts w:asciiTheme="minorHAnsi" w:hAnsiTheme="minorHAnsi" w:cstheme="minorHAnsi"/>
                <w:sz w:val="16"/>
                <w:szCs w:val="16"/>
              </w:rPr>
              <w:t>Interest from International Remote Workers</w:t>
            </w:r>
            <w:r w:rsidRPr="00A675B3">
              <w:rPr>
                <w:rFonts w:asciiTheme="minorHAnsi" w:hAnsiTheme="minorHAnsi" w:cstheme="minorHAnsi"/>
                <w:sz w:val="16"/>
                <w:szCs w:val="16"/>
              </w:rPr>
              <w:t xml:space="preserve">: Donegal’s remote working campaign garnered international attention, drawing inquiries from digital nomads and professionals interested in long-term stays. </w:t>
            </w:r>
            <w:r w:rsidR="00B27236">
              <w:rPr>
                <w:rFonts w:asciiTheme="minorHAnsi" w:hAnsiTheme="minorHAnsi" w:cstheme="minorHAnsi"/>
                <w:sz w:val="16"/>
                <w:szCs w:val="16"/>
              </w:rPr>
              <w:t xml:space="preserve">Analysis of the campaign showed that this interest came predominantly from the Republic of Ireland, Northern Ireland, the UK, USA, and countries within Europe. </w:t>
            </w:r>
            <w:r w:rsidRPr="00A675B3">
              <w:rPr>
                <w:rFonts w:asciiTheme="minorHAnsi" w:hAnsiTheme="minorHAnsi" w:cstheme="minorHAnsi"/>
                <w:sz w:val="16"/>
                <w:szCs w:val="16"/>
              </w:rPr>
              <w:t>The campaign's success in attracting interest from abroad aligns with Donegal's goals of using tourism to foster community and economic growth​.</w:t>
            </w:r>
            <w:r w:rsidR="00B27236">
              <w:rPr>
                <w:rFonts w:asciiTheme="minorHAnsi" w:hAnsiTheme="minorHAnsi" w:cstheme="minorHAnsi"/>
                <w:sz w:val="16"/>
                <w:szCs w:val="16"/>
              </w:rPr>
              <w:t xml:space="preserve"> This was also acknowledged from analysis of the Relocation campaign which was launched by Donegal County Council in 2023, which saw over 70 direct enquiries from across the globe interested in relocating to Donegal for remote working purposes. </w:t>
            </w:r>
          </w:p>
          <w:p w14:paraId="423E21E8" w14:textId="3C9C7B36" w:rsidR="008A352D" w:rsidRPr="00A675B3" w:rsidRDefault="00A675B3" w:rsidP="00A675B3">
            <w:pPr>
              <w:pStyle w:val="NormalWeb"/>
              <w:rPr>
                <w:rFonts w:asciiTheme="minorHAnsi" w:hAnsiTheme="minorHAnsi" w:cstheme="minorHAnsi"/>
                <w:sz w:val="16"/>
                <w:szCs w:val="16"/>
              </w:rPr>
            </w:pPr>
            <w:r w:rsidRPr="00A675B3">
              <w:rPr>
                <w:rFonts w:asciiTheme="minorHAnsi" w:hAnsiTheme="minorHAnsi" w:cstheme="minorHAnsi"/>
                <w:sz w:val="16"/>
                <w:szCs w:val="16"/>
              </w:rPr>
              <w:lastRenderedPageBreak/>
              <w:t>These indicators provide evidence that the Donegal Working Holiday campaign has effectively attracted remote workers and boosted local business, validating its impact on Donegal's economy and community.</w:t>
            </w:r>
          </w:p>
        </w:tc>
      </w:tr>
      <w:tr w:rsidR="00841E6F" w:rsidRPr="00457EEC" w14:paraId="4221EC12" w14:textId="77777777" w:rsidTr="0004650D">
        <w:trPr>
          <w:trHeight w:val="232"/>
        </w:trPr>
        <w:tc>
          <w:tcPr>
            <w:tcW w:w="3397" w:type="dxa"/>
            <w:shd w:val="clear" w:color="auto" w:fill="DEEAF6" w:themeFill="accent1" w:themeFillTint="33"/>
            <w:vAlign w:val="center"/>
          </w:tcPr>
          <w:p w14:paraId="0C8F4A98" w14:textId="77777777" w:rsidR="00841E6F" w:rsidRPr="001C2B71" w:rsidRDefault="00296C50" w:rsidP="00296C50">
            <w:pPr>
              <w:spacing w:before="60" w:after="60"/>
              <w:rPr>
                <w:rFonts w:ascii="Arial" w:eastAsia="Batang" w:hAnsi="Arial" w:cs="Arial"/>
                <w:b/>
                <w:bCs/>
                <w:sz w:val="20"/>
                <w:szCs w:val="20"/>
                <w:lang w:val="en-GB"/>
              </w:rPr>
            </w:pPr>
            <w:r w:rsidRPr="001C2B71">
              <w:rPr>
                <w:rFonts w:ascii="Arial" w:eastAsia="Batang" w:hAnsi="Arial" w:cs="Arial"/>
                <w:b/>
                <w:bCs/>
                <w:sz w:val="20"/>
                <w:szCs w:val="20"/>
                <w:lang w:val="en-GB"/>
              </w:rPr>
              <w:lastRenderedPageBreak/>
              <w:t xml:space="preserve">Challenges </w:t>
            </w:r>
            <w:r w:rsidR="00C82514" w:rsidRPr="001C2B71">
              <w:rPr>
                <w:rFonts w:ascii="Arial" w:eastAsia="Batang" w:hAnsi="Arial" w:cs="Arial"/>
                <w:b/>
                <w:bCs/>
                <w:sz w:val="20"/>
                <w:szCs w:val="20"/>
                <w:lang w:val="en-GB"/>
              </w:rPr>
              <w:t>encountered</w:t>
            </w:r>
            <w:r w:rsidR="006F66C5" w:rsidRPr="001C2B71">
              <w:rPr>
                <w:rFonts w:ascii="Arial" w:eastAsia="Batang" w:hAnsi="Arial" w:cs="Arial"/>
                <w:b/>
                <w:bCs/>
                <w:sz w:val="20"/>
                <w:szCs w:val="20"/>
                <w:lang w:val="en-GB"/>
              </w:rPr>
              <w:t xml:space="preserve"> (optional)</w:t>
            </w:r>
            <w:r w:rsidR="00422421" w:rsidRPr="001C2B71">
              <w:rPr>
                <w:rFonts w:ascii="Arial" w:eastAsia="Batang" w:hAnsi="Arial" w:cs="Arial"/>
                <w:b/>
                <w:bCs/>
                <w:sz w:val="20"/>
                <w:szCs w:val="20"/>
                <w:lang w:val="en-GB"/>
              </w:rPr>
              <w:t>:</w:t>
            </w:r>
          </w:p>
        </w:tc>
        <w:tc>
          <w:tcPr>
            <w:tcW w:w="6521" w:type="dxa"/>
            <w:vAlign w:val="center"/>
          </w:tcPr>
          <w:p w14:paraId="702D5726" w14:textId="77777777" w:rsidR="00841E6F" w:rsidRPr="001C2B71" w:rsidRDefault="00C82514" w:rsidP="00296C50">
            <w:pPr>
              <w:spacing w:before="60" w:after="60"/>
              <w:rPr>
                <w:rFonts w:ascii="Arial" w:eastAsia="Batang" w:hAnsi="Arial" w:cs="Arial"/>
                <w:bCs/>
                <w:i/>
                <w:sz w:val="16"/>
                <w:szCs w:val="16"/>
                <w:lang w:val="en-GB"/>
              </w:rPr>
            </w:pPr>
            <w:r w:rsidRPr="001C2B71">
              <w:rPr>
                <w:rFonts w:ascii="Arial" w:eastAsia="Batang" w:hAnsi="Arial" w:cs="Arial"/>
                <w:bCs/>
                <w:i/>
                <w:sz w:val="16"/>
                <w:szCs w:val="16"/>
                <w:lang w:val="en-GB"/>
              </w:rPr>
              <w:t xml:space="preserve">[300 characters] Please specify any </w:t>
            </w:r>
            <w:r w:rsidR="00296C50" w:rsidRPr="001C2B71">
              <w:rPr>
                <w:rFonts w:ascii="Arial" w:eastAsia="Batang" w:hAnsi="Arial" w:cs="Arial"/>
                <w:bCs/>
                <w:i/>
                <w:sz w:val="16"/>
                <w:szCs w:val="16"/>
                <w:lang w:val="en-GB"/>
              </w:rPr>
              <w:t xml:space="preserve">challenges </w:t>
            </w:r>
            <w:r w:rsidRPr="001C2B71">
              <w:rPr>
                <w:rFonts w:ascii="Arial" w:eastAsia="Batang" w:hAnsi="Arial" w:cs="Arial"/>
                <w:bCs/>
                <w:i/>
                <w:sz w:val="16"/>
                <w:szCs w:val="16"/>
                <w:lang w:val="en-GB"/>
              </w:rPr>
              <w:t>encountered/lessons learned during the implementation of the practice.</w:t>
            </w:r>
          </w:p>
          <w:p w14:paraId="167533E9" w14:textId="77777777" w:rsidR="005908CB" w:rsidRPr="001C2B71" w:rsidRDefault="005908CB" w:rsidP="00296C50">
            <w:pPr>
              <w:spacing w:before="60" w:after="60"/>
              <w:rPr>
                <w:rFonts w:ascii="Arial" w:eastAsia="Batang" w:hAnsi="Arial" w:cs="Arial"/>
                <w:bCs/>
                <w:i/>
                <w:sz w:val="16"/>
                <w:szCs w:val="16"/>
                <w:lang w:val="en-GB"/>
              </w:rPr>
            </w:pPr>
          </w:p>
          <w:p w14:paraId="295522B9" w14:textId="77777777" w:rsidR="00CA07F5" w:rsidRPr="001C2B71" w:rsidRDefault="00CA07F5" w:rsidP="00507F35">
            <w:pPr>
              <w:spacing w:before="60" w:after="60"/>
              <w:jc w:val="both"/>
              <w:rPr>
                <w:rFonts w:ascii="Arial" w:eastAsia="Batang" w:hAnsi="Arial" w:cs="Arial"/>
                <w:bCs/>
                <w:sz w:val="16"/>
                <w:szCs w:val="16"/>
                <w:lang w:val="en-GB"/>
              </w:rPr>
            </w:pPr>
          </w:p>
        </w:tc>
      </w:tr>
      <w:tr w:rsidR="00841E6F" w:rsidRPr="00457EEC" w14:paraId="61138B63" w14:textId="77777777" w:rsidTr="0004650D">
        <w:trPr>
          <w:trHeight w:val="232"/>
        </w:trPr>
        <w:tc>
          <w:tcPr>
            <w:tcW w:w="3397" w:type="dxa"/>
            <w:shd w:val="clear" w:color="auto" w:fill="DEEAF6" w:themeFill="accent1" w:themeFillTint="33"/>
            <w:vAlign w:val="center"/>
          </w:tcPr>
          <w:p w14:paraId="2A6A58B7" w14:textId="77777777" w:rsidR="00841E6F" w:rsidRPr="001C2B71" w:rsidRDefault="00841E6F" w:rsidP="007713A2">
            <w:pPr>
              <w:spacing w:before="60" w:after="60"/>
              <w:rPr>
                <w:rFonts w:ascii="Arial" w:eastAsia="Batang" w:hAnsi="Arial" w:cs="Arial"/>
                <w:b/>
                <w:bCs/>
                <w:sz w:val="20"/>
                <w:szCs w:val="20"/>
                <w:lang w:val="en-GB"/>
              </w:rPr>
            </w:pPr>
            <w:r w:rsidRPr="001C2B71">
              <w:rPr>
                <w:rFonts w:ascii="Arial" w:eastAsia="Batang" w:hAnsi="Arial" w:cs="Arial"/>
                <w:b/>
                <w:bCs/>
                <w:sz w:val="20"/>
                <w:szCs w:val="20"/>
                <w:lang w:val="en-GB"/>
              </w:rPr>
              <w:t>Potential for learning or transfer</w:t>
            </w:r>
            <w:r w:rsidR="00422421" w:rsidRPr="001C2B71">
              <w:rPr>
                <w:rFonts w:ascii="Arial" w:eastAsia="Batang" w:hAnsi="Arial" w:cs="Arial"/>
                <w:b/>
                <w:bCs/>
                <w:sz w:val="20"/>
                <w:szCs w:val="20"/>
                <w:lang w:val="en-GB"/>
              </w:rPr>
              <w:t>:</w:t>
            </w:r>
          </w:p>
        </w:tc>
        <w:tc>
          <w:tcPr>
            <w:tcW w:w="6521" w:type="dxa"/>
            <w:vAlign w:val="center"/>
          </w:tcPr>
          <w:p w14:paraId="48741AD9" w14:textId="77777777" w:rsidR="00500734" w:rsidRPr="001C2B71" w:rsidRDefault="00500734" w:rsidP="00500734">
            <w:pPr>
              <w:pStyle w:val="NormalWeb"/>
              <w:rPr>
                <w:rFonts w:asciiTheme="minorHAnsi" w:hAnsiTheme="minorHAnsi" w:cstheme="minorHAnsi"/>
                <w:sz w:val="18"/>
                <w:szCs w:val="18"/>
                <w:lang w:val="en-IE" w:eastAsia="en-IE"/>
              </w:rPr>
            </w:pPr>
            <w:r w:rsidRPr="001C2B71">
              <w:rPr>
                <w:rFonts w:asciiTheme="minorHAnsi" w:hAnsiTheme="minorHAnsi" w:cstheme="minorHAnsi"/>
                <w:sz w:val="18"/>
                <w:szCs w:val="18"/>
              </w:rPr>
              <w:t>The Donegal Working Holiday campaign provides several valuable insights for other regions in Europe looking to boost their attractiveness for remote work and rural economic growth. Key learnings include:</w:t>
            </w:r>
          </w:p>
          <w:p w14:paraId="4FC760FE" w14:textId="6B23C7B2" w:rsidR="00500734" w:rsidRPr="001C2B71" w:rsidRDefault="00500734" w:rsidP="00500734">
            <w:pPr>
              <w:pStyle w:val="NormalWeb"/>
              <w:numPr>
                <w:ilvl w:val="0"/>
                <w:numId w:val="27"/>
              </w:numPr>
              <w:rPr>
                <w:rFonts w:asciiTheme="minorHAnsi" w:hAnsiTheme="minorHAnsi" w:cstheme="minorHAnsi"/>
                <w:sz w:val="18"/>
                <w:szCs w:val="18"/>
              </w:rPr>
            </w:pPr>
            <w:r w:rsidRPr="001C2B71">
              <w:rPr>
                <w:rStyle w:val="Strong"/>
                <w:rFonts w:asciiTheme="minorHAnsi" w:hAnsiTheme="minorHAnsi" w:cstheme="minorHAnsi"/>
                <w:sz w:val="18"/>
                <w:szCs w:val="18"/>
              </w:rPr>
              <w:t>Digital Infrastructure as a Foundation</w:t>
            </w:r>
            <w:r w:rsidRPr="001C2B71">
              <w:rPr>
                <w:rFonts w:asciiTheme="minorHAnsi" w:hAnsiTheme="minorHAnsi" w:cstheme="minorHAnsi"/>
                <w:sz w:val="18"/>
                <w:szCs w:val="18"/>
              </w:rPr>
              <w:t>: Donegal's investment in high-speed internet infrastructure, through projects like Project Kelvin, highlights the importance of reliable connectivity in making rural areas viable for remote work. Other regions can benefit from prioriti</w:t>
            </w:r>
            <w:r w:rsidR="001C2B71" w:rsidRPr="001C2B71">
              <w:rPr>
                <w:rFonts w:asciiTheme="minorHAnsi" w:hAnsiTheme="minorHAnsi" w:cstheme="minorHAnsi"/>
                <w:sz w:val="18"/>
                <w:szCs w:val="18"/>
              </w:rPr>
              <w:t>s</w:t>
            </w:r>
            <w:r w:rsidRPr="001C2B71">
              <w:rPr>
                <w:rFonts w:asciiTheme="minorHAnsi" w:hAnsiTheme="minorHAnsi" w:cstheme="minorHAnsi"/>
                <w:sz w:val="18"/>
                <w:szCs w:val="18"/>
              </w:rPr>
              <w:t>ing similar infrastructure projects to create a foundation for remote work-friendly communities​.</w:t>
            </w:r>
          </w:p>
          <w:p w14:paraId="5EDE8173" w14:textId="0E7F0841" w:rsidR="00500734" w:rsidRPr="001C2B71" w:rsidRDefault="00500734" w:rsidP="00500734">
            <w:pPr>
              <w:pStyle w:val="NormalWeb"/>
              <w:numPr>
                <w:ilvl w:val="0"/>
                <w:numId w:val="27"/>
              </w:numPr>
              <w:rPr>
                <w:rFonts w:asciiTheme="minorHAnsi" w:hAnsiTheme="minorHAnsi" w:cstheme="minorHAnsi"/>
                <w:sz w:val="18"/>
                <w:szCs w:val="18"/>
              </w:rPr>
            </w:pPr>
            <w:r w:rsidRPr="001C2B71">
              <w:rPr>
                <w:rStyle w:val="Strong"/>
                <w:rFonts w:asciiTheme="minorHAnsi" w:hAnsiTheme="minorHAnsi" w:cstheme="minorHAnsi"/>
                <w:sz w:val="18"/>
                <w:szCs w:val="18"/>
              </w:rPr>
              <w:t>Leveraging Natural and Cultural Assets</w:t>
            </w:r>
            <w:r w:rsidRPr="001C2B71">
              <w:rPr>
                <w:rFonts w:asciiTheme="minorHAnsi" w:hAnsiTheme="minorHAnsi" w:cstheme="minorHAnsi"/>
                <w:sz w:val="18"/>
                <w:szCs w:val="18"/>
              </w:rPr>
              <w:t>: Donegal’s campaign showcases how regions can attract remote workers</w:t>
            </w:r>
            <w:r w:rsidR="001C2B71" w:rsidRPr="001C2B71">
              <w:rPr>
                <w:rFonts w:asciiTheme="minorHAnsi" w:hAnsiTheme="minorHAnsi" w:cstheme="minorHAnsi"/>
                <w:sz w:val="18"/>
                <w:szCs w:val="18"/>
              </w:rPr>
              <w:t xml:space="preserve"> and digital nomads</w:t>
            </w:r>
            <w:r w:rsidRPr="001C2B71">
              <w:rPr>
                <w:rFonts w:asciiTheme="minorHAnsi" w:hAnsiTheme="minorHAnsi" w:cstheme="minorHAnsi"/>
                <w:sz w:val="18"/>
                <w:szCs w:val="18"/>
              </w:rPr>
              <w:t xml:space="preserve"> by emphasi</w:t>
            </w:r>
            <w:r w:rsidR="001C2B71" w:rsidRPr="001C2B71">
              <w:rPr>
                <w:rFonts w:asciiTheme="minorHAnsi" w:hAnsiTheme="minorHAnsi" w:cstheme="minorHAnsi"/>
                <w:sz w:val="18"/>
                <w:szCs w:val="18"/>
              </w:rPr>
              <w:t>s</w:t>
            </w:r>
            <w:r w:rsidRPr="001C2B71">
              <w:rPr>
                <w:rFonts w:asciiTheme="minorHAnsi" w:hAnsiTheme="minorHAnsi" w:cstheme="minorHAnsi"/>
                <w:sz w:val="18"/>
                <w:szCs w:val="18"/>
              </w:rPr>
              <w:t>ing quality of life, natural beauty, and cultural experiences. This approach can be adapted to any area with unique environmental or cultural features, making it a strong model for regions aiming to promote tourism while supporting a digital economy.</w:t>
            </w:r>
          </w:p>
          <w:p w14:paraId="5E2BD3D5" w14:textId="4CF4C907" w:rsidR="00500734" w:rsidRPr="001C2B71" w:rsidRDefault="00500734" w:rsidP="00500734">
            <w:pPr>
              <w:pStyle w:val="NormalWeb"/>
              <w:numPr>
                <w:ilvl w:val="0"/>
                <w:numId w:val="27"/>
              </w:numPr>
              <w:rPr>
                <w:rFonts w:asciiTheme="minorHAnsi" w:hAnsiTheme="minorHAnsi" w:cstheme="minorHAnsi"/>
                <w:sz w:val="18"/>
                <w:szCs w:val="18"/>
              </w:rPr>
            </w:pPr>
            <w:r w:rsidRPr="001C2B71">
              <w:rPr>
                <w:rStyle w:val="Strong"/>
                <w:rFonts w:asciiTheme="minorHAnsi" w:hAnsiTheme="minorHAnsi" w:cstheme="minorHAnsi"/>
                <w:sz w:val="18"/>
                <w:szCs w:val="18"/>
              </w:rPr>
              <w:t>Strategic Partnerships and Local Engagement</w:t>
            </w:r>
            <w:r w:rsidRPr="001C2B71">
              <w:rPr>
                <w:rFonts w:asciiTheme="minorHAnsi" w:hAnsiTheme="minorHAnsi" w:cstheme="minorHAnsi"/>
                <w:sz w:val="18"/>
                <w:szCs w:val="18"/>
              </w:rPr>
              <w:t>: The Donegal campaign’s partnerships with organi</w:t>
            </w:r>
            <w:r w:rsidR="001C2B71" w:rsidRPr="001C2B71">
              <w:rPr>
                <w:rFonts w:asciiTheme="minorHAnsi" w:hAnsiTheme="minorHAnsi" w:cstheme="minorHAnsi"/>
                <w:sz w:val="18"/>
                <w:szCs w:val="18"/>
              </w:rPr>
              <w:t>s</w:t>
            </w:r>
            <w:r w:rsidRPr="001C2B71">
              <w:rPr>
                <w:rFonts w:asciiTheme="minorHAnsi" w:hAnsiTheme="minorHAnsi" w:cstheme="minorHAnsi"/>
                <w:sz w:val="18"/>
                <w:szCs w:val="18"/>
              </w:rPr>
              <w:t>ations like Donegal Digital, Grow Remote, and Connected Hubs illustrate the importance of collaboration. By involving local businesses and remote working advocates, Donegal created a comprehensive support network for remote workers</w:t>
            </w:r>
            <w:r w:rsidR="001C2B71" w:rsidRPr="001C2B71">
              <w:rPr>
                <w:rFonts w:asciiTheme="minorHAnsi" w:hAnsiTheme="minorHAnsi" w:cstheme="minorHAnsi"/>
                <w:sz w:val="18"/>
                <w:szCs w:val="18"/>
              </w:rPr>
              <w:t xml:space="preserve"> and digital nomads</w:t>
            </w:r>
            <w:r w:rsidRPr="001C2B71">
              <w:rPr>
                <w:rFonts w:asciiTheme="minorHAnsi" w:hAnsiTheme="minorHAnsi" w:cstheme="minorHAnsi"/>
                <w:sz w:val="18"/>
                <w:szCs w:val="18"/>
              </w:rPr>
              <w:t>. This model demonstrates how partnerships can amplify resources and reach​</w:t>
            </w:r>
            <w:r w:rsidR="004631C2">
              <w:rPr>
                <w:rFonts w:asciiTheme="minorHAnsi" w:hAnsiTheme="minorHAnsi" w:cstheme="minorHAnsi"/>
                <w:sz w:val="18"/>
                <w:szCs w:val="18"/>
              </w:rPr>
              <w:t>.</w:t>
            </w:r>
          </w:p>
          <w:p w14:paraId="3349A03C" w14:textId="1CC3BC1A" w:rsidR="00500734" w:rsidRPr="001C2B71" w:rsidRDefault="00500734" w:rsidP="00500734">
            <w:pPr>
              <w:pStyle w:val="NormalWeb"/>
              <w:numPr>
                <w:ilvl w:val="0"/>
                <w:numId w:val="27"/>
              </w:numPr>
              <w:rPr>
                <w:rFonts w:asciiTheme="minorHAnsi" w:hAnsiTheme="minorHAnsi" w:cstheme="minorHAnsi"/>
                <w:sz w:val="18"/>
                <w:szCs w:val="18"/>
              </w:rPr>
            </w:pPr>
            <w:r w:rsidRPr="001C2B71">
              <w:rPr>
                <w:rStyle w:val="Strong"/>
                <w:rFonts w:asciiTheme="minorHAnsi" w:hAnsiTheme="minorHAnsi" w:cstheme="minorHAnsi"/>
                <w:sz w:val="18"/>
                <w:szCs w:val="18"/>
              </w:rPr>
              <w:t>Flexible, User-Friendly Co-Working Solutions</w:t>
            </w:r>
            <w:r w:rsidRPr="001C2B71">
              <w:rPr>
                <w:rFonts w:asciiTheme="minorHAnsi" w:hAnsiTheme="minorHAnsi" w:cstheme="minorHAnsi"/>
                <w:sz w:val="18"/>
                <w:szCs w:val="18"/>
              </w:rPr>
              <w:t>: The campaign’s use of accessible, flexible digital hubs across various locations within Donegal demonstrates how regions can cater to the needs of remote workers</w:t>
            </w:r>
            <w:r w:rsidR="001C2B71" w:rsidRPr="001C2B71">
              <w:rPr>
                <w:rFonts w:asciiTheme="minorHAnsi" w:hAnsiTheme="minorHAnsi" w:cstheme="minorHAnsi"/>
                <w:sz w:val="18"/>
                <w:szCs w:val="18"/>
              </w:rPr>
              <w:t xml:space="preserve"> and digital nomads</w:t>
            </w:r>
            <w:r w:rsidRPr="001C2B71">
              <w:rPr>
                <w:rFonts w:asciiTheme="minorHAnsi" w:hAnsiTheme="minorHAnsi" w:cstheme="minorHAnsi"/>
                <w:sz w:val="18"/>
                <w:szCs w:val="18"/>
              </w:rPr>
              <w:t>. Setting up versatile spaces in rural or underused areas allows other regions to support work tourism without the need for major new construction​.</w:t>
            </w:r>
          </w:p>
          <w:p w14:paraId="7A65E6AC" w14:textId="4D35F60F" w:rsidR="00500734" w:rsidRPr="001C2B71" w:rsidRDefault="00500734" w:rsidP="00500734">
            <w:pPr>
              <w:pStyle w:val="NormalWeb"/>
              <w:numPr>
                <w:ilvl w:val="0"/>
                <w:numId w:val="27"/>
              </w:numPr>
              <w:rPr>
                <w:rFonts w:asciiTheme="minorHAnsi" w:hAnsiTheme="minorHAnsi" w:cstheme="minorHAnsi"/>
                <w:sz w:val="18"/>
                <w:szCs w:val="18"/>
              </w:rPr>
            </w:pPr>
            <w:r w:rsidRPr="001C2B71">
              <w:rPr>
                <w:rStyle w:val="Strong"/>
                <w:rFonts w:asciiTheme="minorHAnsi" w:hAnsiTheme="minorHAnsi" w:cstheme="minorHAnsi"/>
                <w:sz w:val="18"/>
                <w:szCs w:val="18"/>
              </w:rPr>
              <w:t>Marketing and Social Media Strategy</w:t>
            </w:r>
            <w:r w:rsidRPr="001C2B71">
              <w:rPr>
                <w:rFonts w:asciiTheme="minorHAnsi" w:hAnsiTheme="minorHAnsi" w:cstheme="minorHAnsi"/>
                <w:sz w:val="18"/>
                <w:szCs w:val="18"/>
              </w:rPr>
              <w:t>: The #WorkHolDL and #ObairSaoireDL hashtags created a unified social media presence that made the campaign more visible. Regions can adopt similar branding strategies to reach wider audiences, ensuring that remote work and tourism campaigns resonate on digital platforms​.</w:t>
            </w:r>
          </w:p>
          <w:p w14:paraId="324F58BC" w14:textId="77777777" w:rsidR="00500734" w:rsidRPr="001C2B71" w:rsidRDefault="00500734" w:rsidP="00500734">
            <w:pPr>
              <w:pStyle w:val="NormalWeb"/>
              <w:rPr>
                <w:rFonts w:asciiTheme="minorHAnsi" w:hAnsiTheme="minorHAnsi" w:cstheme="minorHAnsi"/>
                <w:sz w:val="18"/>
                <w:szCs w:val="18"/>
              </w:rPr>
            </w:pPr>
            <w:r w:rsidRPr="001C2B71">
              <w:rPr>
                <w:rFonts w:asciiTheme="minorHAnsi" w:hAnsiTheme="minorHAnsi" w:cstheme="minorHAnsi"/>
                <w:sz w:val="18"/>
                <w:szCs w:val="18"/>
              </w:rPr>
              <w:t>These elements make Donegal's approach adaptable for EU regions aiming to enhance local economies through remote work and tourism. Integrating infrastructure, community partnerships, and lifestyle promotion can turn visitors into potential residents and investors.</w:t>
            </w:r>
          </w:p>
          <w:p w14:paraId="28EB2C69" w14:textId="77777777" w:rsidR="00507F35" w:rsidRPr="001C2B71" w:rsidRDefault="00507F35" w:rsidP="00EA3273">
            <w:pPr>
              <w:spacing w:before="60" w:after="60"/>
              <w:rPr>
                <w:rFonts w:asciiTheme="minorHAnsi" w:eastAsia="Batang" w:hAnsiTheme="minorHAnsi" w:cstheme="minorHAnsi"/>
                <w:bCs/>
                <w:i/>
                <w:sz w:val="18"/>
                <w:szCs w:val="18"/>
                <w:lang w:val="en-GB"/>
              </w:rPr>
            </w:pPr>
          </w:p>
        </w:tc>
      </w:tr>
      <w:tr w:rsidR="00841E6F" w:rsidRPr="00457EEC" w14:paraId="5740D8F6" w14:textId="77777777" w:rsidTr="002976C1">
        <w:trPr>
          <w:trHeight w:val="232"/>
        </w:trPr>
        <w:tc>
          <w:tcPr>
            <w:tcW w:w="3397" w:type="dxa"/>
            <w:tcBorders>
              <w:bottom w:val="single" w:sz="4" w:space="0" w:color="auto"/>
            </w:tcBorders>
            <w:shd w:val="clear" w:color="auto" w:fill="DEEAF6" w:themeFill="accent1" w:themeFillTint="33"/>
            <w:vAlign w:val="center"/>
          </w:tcPr>
          <w:p w14:paraId="45D74D99" w14:textId="77777777" w:rsidR="00841E6F" w:rsidRPr="001C2B71" w:rsidRDefault="00841E6F" w:rsidP="0004650D">
            <w:pPr>
              <w:spacing w:before="60" w:after="60"/>
              <w:jc w:val="both"/>
              <w:rPr>
                <w:rFonts w:ascii="Arial" w:eastAsia="Batang" w:hAnsi="Arial" w:cs="Arial"/>
                <w:b/>
                <w:bCs/>
                <w:sz w:val="20"/>
                <w:szCs w:val="20"/>
                <w:lang w:val="en-GB"/>
              </w:rPr>
            </w:pPr>
            <w:r w:rsidRPr="001C2B71">
              <w:rPr>
                <w:rFonts w:ascii="Arial" w:eastAsia="Batang" w:hAnsi="Arial" w:cs="Arial"/>
                <w:b/>
                <w:bCs/>
                <w:sz w:val="20"/>
                <w:szCs w:val="20"/>
                <w:lang w:val="en-GB"/>
              </w:rPr>
              <w:t>Further information</w:t>
            </w:r>
            <w:r w:rsidR="00422421" w:rsidRPr="001C2B71">
              <w:rPr>
                <w:rFonts w:ascii="Arial" w:eastAsia="Batang" w:hAnsi="Arial" w:cs="Arial"/>
                <w:b/>
                <w:bCs/>
                <w:sz w:val="20"/>
                <w:szCs w:val="20"/>
                <w:lang w:val="en-GB"/>
              </w:rPr>
              <w:t>:</w:t>
            </w:r>
          </w:p>
        </w:tc>
        <w:tc>
          <w:tcPr>
            <w:tcW w:w="6521" w:type="dxa"/>
            <w:tcBorders>
              <w:bottom w:val="single" w:sz="4" w:space="0" w:color="auto"/>
            </w:tcBorders>
            <w:vAlign w:val="center"/>
          </w:tcPr>
          <w:p w14:paraId="6FC8D15A" w14:textId="77777777" w:rsidR="00841E6F" w:rsidRPr="001C2B71" w:rsidRDefault="008D1015" w:rsidP="0004650D">
            <w:pPr>
              <w:spacing w:before="60" w:after="60"/>
              <w:rPr>
                <w:rFonts w:ascii="Arial" w:eastAsia="Batang" w:hAnsi="Arial" w:cs="Arial"/>
                <w:bCs/>
                <w:i/>
                <w:sz w:val="16"/>
                <w:szCs w:val="16"/>
                <w:lang w:val="en-GB"/>
              </w:rPr>
            </w:pPr>
            <w:r w:rsidRPr="001C2B71">
              <w:rPr>
                <w:rFonts w:ascii="Arial" w:eastAsia="Batang" w:hAnsi="Arial" w:cs="Arial"/>
                <w:bCs/>
                <w:i/>
                <w:sz w:val="16"/>
                <w:szCs w:val="16"/>
                <w:lang w:val="en-GB"/>
              </w:rPr>
              <w:t>Further information can be found on:</w:t>
            </w:r>
          </w:p>
          <w:p w14:paraId="061463AF" w14:textId="7C2164F2" w:rsidR="008D1015" w:rsidRPr="001C2B71" w:rsidRDefault="004631C2" w:rsidP="0004650D">
            <w:pPr>
              <w:spacing w:before="60" w:after="60"/>
              <w:rPr>
                <w:rFonts w:ascii="Arial" w:eastAsia="Batang" w:hAnsi="Arial" w:cs="Arial"/>
                <w:bCs/>
                <w:i/>
                <w:sz w:val="20"/>
                <w:szCs w:val="20"/>
                <w:lang w:val="en-GB"/>
              </w:rPr>
            </w:pPr>
            <w:hyperlink r:id="rId10" w:history="1">
              <w:r w:rsidR="008A352D" w:rsidRPr="001C2B71">
                <w:rPr>
                  <w:rStyle w:val="Hyperlink"/>
                  <w:rFonts w:ascii="Arial" w:eastAsia="Batang" w:hAnsi="Arial" w:cs="Arial"/>
                  <w:bCs/>
                  <w:i/>
                  <w:color w:val="auto"/>
                  <w:sz w:val="20"/>
                  <w:szCs w:val="20"/>
                  <w:lang w:val="en-GB"/>
                </w:rPr>
                <w:t>https://donegal.ie/</w:t>
              </w:r>
            </w:hyperlink>
            <w:r w:rsidR="008A352D" w:rsidRPr="001C2B71">
              <w:rPr>
                <w:rFonts w:ascii="Arial" w:eastAsia="Batang" w:hAnsi="Arial" w:cs="Arial"/>
                <w:bCs/>
                <w:i/>
                <w:sz w:val="20"/>
                <w:szCs w:val="20"/>
                <w:lang w:val="en-GB"/>
              </w:rPr>
              <w:t xml:space="preserve"> </w:t>
            </w:r>
          </w:p>
        </w:tc>
      </w:tr>
      <w:tr w:rsidR="00381A23" w:rsidRPr="00457EEC" w14:paraId="673479EB" w14:textId="77777777" w:rsidTr="0004650D">
        <w:trPr>
          <w:trHeight w:val="232"/>
        </w:trPr>
        <w:tc>
          <w:tcPr>
            <w:tcW w:w="3397" w:type="dxa"/>
            <w:shd w:val="clear" w:color="auto" w:fill="DEEAF6" w:themeFill="accent1" w:themeFillTint="33"/>
            <w:vAlign w:val="center"/>
          </w:tcPr>
          <w:p w14:paraId="6DD02B88" w14:textId="77777777" w:rsidR="00381A23" w:rsidRPr="001C2B71" w:rsidRDefault="00381A23" w:rsidP="0004650D">
            <w:pPr>
              <w:spacing w:before="60" w:after="60"/>
              <w:jc w:val="both"/>
              <w:rPr>
                <w:rFonts w:ascii="Arial" w:eastAsia="Batang" w:hAnsi="Arial" w:cs="Arial"/>
                <w:b/>
                <w:bCs/>
                <w:sz w:val="20"/>
                <w:szCs w:val="20"/>
                <w:lang w:val="en-GB"/>
              </w:rPr>
            </w:pPr>
            <w:r w:rsidRPr="001C2B71">
              <w:rPr>
                <w:rFonts w:ascii="Arial" w:eastAsia="Batang" w:hAnsi="Arial" w:cs="Arial"/>
                <w:b/>
                <w:bCs/>
                <w:sz w:val="20"/>
                <w:szCs w:val="20"/>
                <w:lang w:val="en-GB"/>
              </w:rPr>
              <w:t>Keywords related to your practice</w:t>
            </w:r>
          </w:p>
        </w:tc>
        <w:tc>
          <w:tcPr>
            <w:tcW w:w="6521" w:type="dxa"/>
            <w:vAlign w:val="center"/>
          </w:tcPr>
          <w:p w14:paraId="6622FC43" w14:textId="2142ABC2" w:rsidR="00381A23" w:rsidRPr="001C2B71" w:rsidRDefault="008A352D" w:rsidP="00422421">
            <w:pPr>
              <w:spacing w:before="60" w:after="60"/>
              <w:rPr>
                <w:rFonts w:ascii="Arial" w:eastAsia="Batang" w:hAnsi="Arial" w:cs="Arial"/>
                <w:bCs/>
                <w:i/>
                <w:sz w:val="16"/>
                <w:szCs w:val="16"/>
                <w:lang w:val="en-GB"/>
              </w:rPr>
            </w:pPr>
            <w:r w:rsidRPr="001C2B71">
              <w:rPr>
                <w:rFonts w:ascii="Arial" w:eastAsia="Batang" w:hAnsi="Arial" w:cs="Arial"/>
                <w:bCs/>
                <w:i/>
                <w:sz w:val="16"/>
                <w:szCs w:val="16"/>
                <w:lang w:val="en-GB"/>
              </w:rPr>
              <w:t xml:space="preserve">#MoveToDonegal #WorkHolDL #ObairSaoireDnaG </w:t>
            </w:r>
          </w:p>
        </w:tc>
      </w:tr>
      <w:tr w:rsidR="00841E6F" w:rsidRPr="00457EEC" w14:paraId="1C8216DC" w14:textId="77777777" w:rsidTr="002976C1">
        <w:trPr>
          <w:trHeight w:val="961"/>
        </w:trPr>
        <w:tc>
          <w:tcPr>
            <w:tcW w:w="3397" w:type="dxa"/>
            <w:tcBorders>
              <w:top w:val="single" w:sz="4" w:space="0" w:color="auto"/>
            </w:tcBorders>
            <w:shd w:val="clear" w:color="auto" w:fill="F7CAAC" w:themeFill="accent2" w:themeFillTint="66"/>
            <w:vAlign w:val="center"/>
          </w:tcPr>
          <w:p w14:paraId="63361592" w14:textId="77777777" w:rsidR="00841E6F" w:rsidRDefault="00841E6F" w:rsidP="003D5D1E">
            <w:pPr>
              <w:spacing w:before="60" w:after="60"/>
              <w:ind w:left="720"/>
              <w:rPr>
                <w:rFonts w:ascii="Arial" w:eastAsia="Batang" w:hAnsi="Arial" w:cs="Arial"/>
                <w:b/>
                <w:bCs/>
                <w:sz w:val="20"/>
                <w:szCs w:val="20"/>
                <w:lang w:val="en-GB"/>
              </w:rPr>
            </w:pPr>
            <w:r w:rsidRPr="00FF124C">
              <w:rPr>
                <w:rFonts w:ascii="Arial" w:eastAsia="Batang" w:hAnsi="Arial" w:cs="Arial"/>
                <w:b/>
                <w:bCs/>
                <w:color w:val="FF0000"/>
                <w:sz w:val="20"/>
                <w:szCs w:val="20"/>
                <w:lang w:val="en-GB"/>
              </w:rPr>
              <w:t xml:space="preserve">Expert opinion </w:t>
            </w:r>
          </w:p>
        </w:tc>
        <w:tc>
          <w:tcPr>
            <w:tcW w:w="6521" w:type="dxa"/>
            <w:tcBorders>
              <w:top w:val="single" w:sz="4" w:space="0" w:color="auto"/>
            </w:tcBorders>
            <w:vAlign w:val="center"/>
          </w:tcPr>
          <w:p w14:paraId="2CE65CC7" w14:textId="77777777" w:rsidR="00841E6F" w:rsidRDefault="003D5D1E" w:rsidP="003B5241">
            <w:pPr>
              <w:spacing w:before="60" w:after="60"/>
              <w:rPr>
                <w:rFonts w:ascii="Arial" w:eastAsia="Batang" w:hAnsi="Arial" w:cs="Arial"/>
                <w:bCs/>
                <w:i/>
                <w:sz w:val="16"/>
                <w:szCs w:val="16"/>
                <w:lang w:val="en-GB"/>
              </w:rPr>
            </w:pPr>
            <w:r w:rsidRPr="003D5D1E">
              <w:rPr>
                <w:rFonts w:ascii="Arial" w:eastAsia="Batang" w:hAnsi="Arial" w:cs="Arial"/>
                <w:bCs/>
                <w:i/>
                <w:sz w:val="16"/>
                <w:szCs w:val="16"/>
                <w:lang w:val="en-GB"/>
              </w:rPr>
              <w:t>[</w:t>
            </w:r>
            <w:r w:rsidR="00F27E3A">
              <w:rPr>
                <w:rFonts w:ascii="Arial" w:eastAsia="Batang" w:hAnsi="Arial" w:cs="Arial"/>
                <w:bCs/>
                <w:i/>
                <w:sz w:val="16"/>
                <w:szCs w:val="16"/>
                <w:lang w:val="en-GB"/>
              </w:rPr>
              <w:t>1</w:t>
            </w:r>
            <w:r w:rsidRPr="003D5D1E">
              <w:rPr>
                <w:rFonts w:ascii="Arial" w:eastAsia="Batang" w:hAnsi="Arial" w:cs="Arial"/>
                <w:bCs/>
                <w:i/>
                <w:sz w:val="16"/>
                <w:szCs w:val="16"/>
                <w:lang w:val="en-GB"/>
              </w:rPr>
              <w:t xml:space="preserve">500 </w:t>
            </w:r>
            <w:r w:rsidRPr="00F25A72">
              <w:rPr>
                <w:rFonts w:ascii="Arial" w:eastAsia="Batang" w:hAnsi="Arial" w:cs="Arial"/>
                <w:bCs/>
                <w:i/>
                <w:sz w:val="16"/>
                <w:szCs w:val="16"/>
                <w:lang w:val="en-GB"/>
              </w:rPr>
              <w:t xml:space="preserve">characters] </w:t>
            </w:r>
            <w:r w:rsidR="00F25A72" w:rsidRPr="00B6753B">
              <w:rPr>
                <w:rFonts w:ascii="Arial" w:eastAsia="Batang" w:hAnsi="Arial" w:cs="Arial"/>
                <w:bCs/>
                <w:i/>
                <w:color w:val="FF0000"/>
                <w:sz w:val="16"/>
                <w:szCs w:val="16"/>
                <w:lang w:val="en-GB"/>
              </w:rPr>
              <w:t>[</w:t>
            </w:r>
            <w:r w:rsidR="00F25A72" w:rsidRPr="00B6753B">
              <w:rPr>
                <w:rFonts w:ascii="Arial" w:eastAsia="Batang" w:hAnsi="Arial" w:cs="Arial"/>
                <w:b/>
                <w:bCs/>
                <w:i/>
                <w:color w:val="FF0000"/>
                <w:sz w:val="16"/>
                <w:szCs w:val="16"/>
                <w:lang w:val="en-GB"/>
              </w:rPr>
              <w:t>filled in by the Policy Learning Platforms experts</w:t>
            </w:r>
            <w:r w:rsidR="003B5241">
              <w:rPr>
                <w:rFonts w:ascii="Arial" w:eastAsia="Batang" w:hAnsi="Arial" w:cs="Arial"/>
                <w:b/>
                <w:bCs/>
                <w:i/>
                <w:color w:val="FF0000"/>
                <w:sz w:val="16"/>
                <w:szCs w:val="16"/>
                <w:lang w:val="en-GB"/>
              </w:rPr>
              <w:t xml:space="preserve"> in case good practice is published in the Good Practice database]</w:t>
            </w:r>
          </w:p>
        </w:tc>
      </w:tr>
    </w:tbl>
    <w:p w14:paraId="45B3C439" w14:textId="77777777" w:rsidR="00841E6F" w:rsidRPr="003B5241" w:rsidRDefault="00841E6F" w:rsidP="00DC6BB4">
      <w:pPr>
        <w:rPr>
          <w:rFonts w:eastAsia="Batang"/>
        </w:rPr>
      </w:pPr>
    </w:p>
    <w:sectPr w:rsidR="00841E6F" w:rsidRPr="003B5241" w:rsidSect="00503436">
      <w:headerReference w:type="default" r:id="rId11"/>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1DC4" w14:textId="77777777" w:rsidR="004015E5" w:rsidRDefault="004015E5">
      <w:r>
        <w:separator/>
      </w:r>
    </w:p>
  </w:endnote>
  <w:endnote w:type="continuationSeparator" w:id="0">
    <w:p w14:paraId="3BC05420" w14:textId="77777777" w:rsidR="004015E5" w:rsidRDefault="004015E5">
      <w:r>
        <w:continuationSeparator/>
      </w:r>
    </w:p>
  </w:endnote>
  <w:endnote w:type="continuationNotice" w:id="1">
    <w:p w14:paraId="2336A9F7" w14:textId="77777777" w:rsidR="004015E5" w:rsidRDefault="0040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648A" w14:textId="77777777" w:rsidR="004015E5" w:rsidRDefault="004015E5">
      <w:r>
        <w:separator/>
      </w:r>
    </w:p>
  </w:footnote>
  <w:footnote w:type="continuationSeparator" w:id="0">
    <w:p w14:paraId="7BEA1693" w14:textId="77777777" w:rsidR="004015E5" w:rsidRDefault="004015E5">
      <w:r>
        <w:continuationSeparator/>
      </w:r>
    </w:p>
  </w:footnote>
  <w:footnote w:type="continuationNotice" w:id="1">
    <w:p w14:paraId="2F10D294" w14:textId="77777777" w:rsidR="004015E5" w:rsidRDefault="00401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63C9" w14:textId="5FB18F8F" w:rsidR="00E45D3C" w:rsidRPr="00E45D3C" w:rsidRDefault="004631C2" w:rsidP="00E45D3C">
    <w:pPr>
      <w:pStyle w:val="Header"/>
      <w:tabs>
        <w:tab w:val="left" w:pos="2445"/>
      </w:tabs>
      <w:rPr>
        <w:szCs w:val="20"/>
        <w:lang w:val="es-ES"/>
      </w:rPr>
    </w:pPr>
    <w:sdt>
      <w:sdtPr>
        <w:rPr>
          <w:szCs w:val="20"/>
        </w:rPr>
        <w:id w:val="173771874"/>
        <w:docPartObj>
          <w:docPartGallery w:val="Watermarks"/>
          <w:docPartUnique/>
        </w:docPartObj>
      </w:sdtPr>
      <w:sdtEndPr/>
      <w:sdtContent>
        <w:r>
          <w:rPr>
            <w:noProof/>
            <w:szCs w:val="20"/>
            <w:lang w:val="en-US"/>
          </w:rPr>
          <w:pict w14:anchorId="6F4CA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1025" type="#_x0000_t136" style="position:absolute;margin-left:0;margin-top:0;width:424.7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6208">
      <w:rPr>
        <w:szCs w:val="20"/>
      </w:rPr>
      <w:tab/>
    </w:r>
    <w:r w:rsidR="00E45D3C" w:rsidRPr="00E45D3C">
      <w:rPr>
        <w:noProof/>
        <w:szCs w:val="20"/>
        <w:lang w:val="es-ES"/>
      </w:rPr>
      <w:drawing>
        <wp:inline distT="0" distB="0" distL="0" distR="0" wp14:anchorId="7D3279B7" wp14:editId="52791C92">
          <wp:extent cx="2676525" cy="960761"/>
          <wp:effectExtent l="0" t="0" r="0" b="0"/>
          <wp:docPr id="1048553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68" cy="963361"/>
                  </a:xfrm>
                  <a:prstGeom prst="rect">
                    <a:avLst/>
                  </a:prstGeom>
                  <a:noFill/>
                  <a:ln>
                    <a:noFill/>
                  </a:ln>
                </pic:spPr>
              </pic:pic>
            </a:graphicData>
          </a:graphic>
        </wp:inline>
      </w:drawing>
    </w:r>
  </w:p>
  <w:p w14:paraId="7E64DBE3" w14:textId="5024C4B3" w:rsidR="005422EE" w:rsidRPr="00457EEC" w:rsidRDefault="00A96208" w:rsidP="00A96208">
    <w:pPr>
      <w:pStyle w:val="Header"/>
      <w:tabs>
        <w:tab w:val="clear" w:pos="4320"/>
        <w:tab w:val="clear" w:pos="8640"/>
        <w:tab w:val="left" w:pos="2445"/>
      </w:tabs>
      <w:rPr>
        <w:szCs w:val="20"/>
      </w:rPr>
    </w:pPr>
    <w:r>
      <w:rPr>
        <w:szCs w:val="20"/>
      </w:rPr>
      <w:t xml:space="preserve">    </w:t>
    </w:r>
    <w:r w:rsidR="00CC240F">
      <w:rPr>
        <w:szCs w:val="20"/>
      </w:rPr>
      <w:t xml:space="preserve">                     </w:t>
    </w:r>
    <w:r>
      <w:rPr>
        <w:szCs w:val="20"/>
      </w:rPr>
      <w:t xml:space="preserve">    </w:t>
    </w:r>
    <w:r w:rsidR="00BB3AEA">
      <w:rPr>
        <w:szCs w:val="20"/>
      </w:rPr>
      <w:t xml:space="preserve">                                                                       </w:t>
    </w:r>
    <w:r>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3354F"/>
    <w:multiLevelType w:val="multilevel"/>
    <w:tmpl w:val="AC3C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A3DFB"/>
    <w:multiLevelType w:val="multilevel"/>
    <w:tmpl w:val="F3A2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5C5904"/>
    <w:multiLevelType w:val="multilevel"/>
    <w:tmpl w:val="5EB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D3506"/>
    <w:multiLevelType w:val="multilevel"/>
    <w:tmpl w:val="AB74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53C6A"/>
    <w:multiLevelType w:val="multilevel"/>
    <w:tmpl w:val="CDFE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F5ECB"/>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D72AA"/>
    <w:multiLevelType w:val="hybridMultilevel"/>
    <w:tmpl w:val="00588294"/>
    <w:lvl w:ilvl="0" w:tplc="9F0ABBA4">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6A39F6"/>
    <w:multiLevelType w:val="hybridMultilevel"/>
    <w:tmpl w:val="6A4C76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474E36"/>
    <w:multiLevelType w:val="multilevel"/>
    <w:tmpl w:val="7F1C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A5A86"/>
    <w:multiLevelType w:val="multilevel"/>
    <w:tmpl w:val="1148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6156591">
    <w:abstractNumId w:val="10"/>
  </w:num>
  <w:num w:numId="2" w16cid:durableId="772433390">
    <w:abstractNumId w:val="19"/>
  </w:num>
  <w:num w:numId="3" w16cid:durableId="647825991">
    <w:abstractNumId w:val="0"/>
  </w:num>
  <w:num w:numId="4" w16cid:durableId="1892157636">
    <w:abstractNumId w:val="11"/>
  </w:num>
  <w:num w:numId="5" w16cid:durableId="665741759">
    <w:abstractNumId w:val="1"/>
  </w:num>
  <w:num w:numId="6" w16cid:durableId="516041598">
    <w:abstractNumId w:val="7"/>
  </w:num>
  <w:num w:numId="7" w16cid:durableId="129709889">
    <w:abstractNumId w:val="3"/>
  </w:num>
  <w:num w:numId="8" w16cid:durableId="1870873201">
    <w:abstractNumId w:val="26"/>
  </w:num>
  <w:num w:numId="9" w16cid:durableId="300160361">
    <w:abstractNumId w:val="5"/>
  </w:num>
  <w:num w:numId="10" w16cid:durableId="117378265">
    <w:abstractNumId w:val="22"/>
  </w:num>
  <w:num w:numId="11" w16cid:durableId="656686570">
    <w:abstractNumId w:val="16"/>
  </w:num>
  <w:num w:numId="12" w16cid:durableId="1140466383">
    <w:abstractNumId w:val="14"/>
  </w:num>
  <w:num w:numId="13" w16cid:durableId="1571692208">
    <w:abstractNumId w:val="20"/>
  </w:num>
  <w:num w:numId="14" w16cid:durableId="621813702">
    <w:abstractNumId w:val="17"/>
  </w:num>
  <w:num w:numId="15" w16cid:durableId="1722632447">
    <w:abstractNumId w:val="9"/>
  </w:num>
  <w:num w:numId="16" w16cid:durableId="1719091631">
    <w:abstractNumId w:val="23"/>
  </w:num>
  <w:num w:numId="17" w16cid:durableId="1573585596">
    <w:abstractNumId w:val="8"/>
  </w:num>
  <w:num w:numId="18" w16cid:durableId="1956131331">
    <w:abstractNumId w:val="13"/>
  </w:num>
  <w:num w:numId="19" w16cid:durableId="1112364979">
    <w:abstractNumId w:val="21"/>
  </w:num>
  <w:num w:numId="20" w16cid:durableId="638656556">
    <w:abstractNumId w:val="18"/>
  </w:num>
  <w:num w:numId="21" w16cid:durableId="1821264439">
    <w:abstractNumId w:val="6"/>
  </w:num>
  <w:num w:numId="22" w16cid:durableId="1078988086">
    <w:abstractNumId w:val="25"/>
  </w:num>
  <w:num w:numId="23" w16cid:durableId="2032023766">
    <w:abstractNumId w:val="12"/>
  </w:num>
  <w:num w:numId="24" w16cid:durableId="480270619">
    <w:abstractNumId w:val="15"/>
  </w:num>
  <w:num w:numId="25" w16cid:durableId="1456752479">
    <w:abstractNumId w:val="4"/>
  </w:num>
  <w:num w:numId="26" w16cid:durableId="1127695576">
    <w:abstractNumId w:val="2"/>
  </w:num>
  <w:num w:numId="27" w16cid:durableId="1130629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11"/>
    <w:rsid w:val="000118A9"/>
    <w:rsid w:val="00020305"/>
    <w:rsid w:val="000A1DCA"/>
    <w:rsid w:val="000A20F4"/>
    <w:rsid w:val="000B5D28"/>
    <w:rsid w:val="000E0900"/>
    <w:rsid w:val="0012087A"/>
    <w:rsid w:val="001240BC"/>
    <w:rsid w:val="001515E2"/>
    <w:rsid w:val="00170A77"/>
    <w:rsid w:val="001948E4"/>
    <w:rsid w:val="00195EF1"/>
    <w:rsid w:val="001A799D"/>
    <w:rsid w:val="001B3921"/>
    <w:rsid w:val="001B44BF"/>
    <w:rsid w:val="001C2B71"/>
    <w:rsid w:val="001C707C"/>
    <w:rsid w:val="001D3223"/>
    <w:rsid w:val="001D647B"/>
    <w:rsid w:val="001F406E"/>
    <w:rsid w:val="0020207C"/>
    <w:rsid w:val="00202C3B"/>
    <w:rsid w:val="00203765"/>
    <w:rsid w:val="00205748"/>
    <w:rsid w:val="00207FC9"/>
    <w:rsid w:val="00263A82"/>
    <w:rsid w:val="00270263"/>
    <w:rsid w:val="002927A1"/>
    <w:rsid w:val="002938CC"/>
    <w:rsid w:val="002939B8"/>
    <w:rsid w:val="00294702"/>
    <w:rsid w:val="00296C50"/>
    <w:rsid w:val="002976C1"/>
    <w:rsid w:val="002A6060"/>
    <w:rsid w:val="002B62D3"/>
    <w:rsid w:val="002C0563"/>
    <w:rsid w:val="002C7F70"/>
    <w:rsid w:val="002E571F"/>
    <w:rsid w:val="002F6A38"/>
    <w:rsid w:val="002F77E7"/>
    <w:rsid w:val="00356B55"/>
    <w:rsid w:val="00357EF3"/>
    <w:rsid w:val="00362F4B"/>
    <w:rsid w:val="00371C58"/>
    <w:rsid w:val="00381A23"/>
    <w:rsid w:val="00393F1D"/>
    <w:rsid w:val="00394192"/>
    <w:rsid w:val="003A17A8"/>
    <w:rsid w:val="003B0D75"/>
    <w:rsid w:val="003B5241"/>
    <w:rsid w:val="003D5D1E"/>
    <w:rsid w:val="003F4809"/>
    <w:rsid w:val="004015E5"/>
    <w:rsid w:val="004020A4"/>
    <w:rsid w:val="004141EE"/>
    <w:rsid w:val="00422421"/>
    <w:rsid w:val="004257E7"/>
    <w:rsid w:val="00425905"/>
    <w:rsid w:val="00432571"/>
    <w:rsid w:val="00434CF0"/>
    <w:rsid w:val="00446682"/>
    <w:rsid w:val="00452C39"/>
    <w:rsid w:val="00457EEC"/>
    <w:rsid w:val="004631C2"/>
    <w:rsid w:val="00486424"/>
    <w:rsid w:val="004A15DF"/>
    <w:rsid w:val="004A5B8E"/>
    <w:rsid w:val="004C241D"/>
    <w:rsid w:val="00500734"/>
    <w:rsid w:val="0050320D"/>
    <w:rsid w:val="00503436"/>
    <w:rsid w:val="00503A06"/>
    <w:rsid w:val="00507F35"/>
    <w:rsid w:val="005154DB"/>
    <w:rsid w:val="00515BAD"/>
    <w:rsid w:val="005422EE"/>
    <w:rsid w:val="00554368"/>
    <w:rsid w:val="00582927"/>
    <w:rsid w:val="0058507E"/>
    <w:rsid w:val="005908CB"/>
    <w:rsid w:val="005D2BA4"/>
    <w:rsid w:val="005E624A"/>
    <w:rsid w:val="005F4144"/>
    <w:rsid w:val="00611503"/>
    <w:rsid w:val="0063156A"/>
    <w:rsid w:val="00634D1B"/>
    <w:rsid w:val="006507ED"/>
    <w:rsid w:val="006538DB"/>
    <w:rsid w:val="00660D5E"/>
    <w:rsid w:val="006635C3"/>
    <w:rsid w:val="00667458"/>
    <w:rsid w:val="00670B08"/>
    <w:rsid w:val="006758CD"/>
    <w:rsid w:val="006A4ED4"/>
    <w:rsid w:val="006A522F"/>
    <w:rsid w:val="006B67F6"/>
    <w:rsid w:val="006C4AE4"/>
    <w:rsid w:val="006F583F"/>
    <w:rsid w:val="006F66C5"/>
    <w:rsid w:val="00715B4D"/>
    <w:rsid w:val="0073182B"/>
    <w:rsid w:val="00734968"/>
    <w:rsid w:val="00743781"/>
    <w:rsid w:val="007713A2"/>
    <w:rsid w:val="00773BB4"/>
    <w:rsid w:val="00791268"/>
    <w:rsid w:val="007B2937"/>
    <w:rsid w:val="00801EF8"/>
    <w:rsid w:val="00815F82"/>
    <w:rsid w:val="00824483"/>
    <w:rsid w:val="00841E6F"/>
    <w:rsid w:val="00855923"/>
    <w:rsid w:val="00874011"/>
    <w:rsid w:val="0089043E"/>
    <w:rsid w:val="00894D6F"/>
    <w:rsid w:val="008A352D"/>
    <w:rsid w:val="008C6DD1"/>
    <w:rsid w:val="008D1015"/>
    <w:rsid w:val="008E56FA"/>
    <w:rsid w:val="008F2E6A"/>
    <w:rsid w:val="00902128"/>
    <w:rsid w:val="00903D32"/>
    <w:rsid w:val="00922E75"/>
    <w:rsid w:val="0093117F"/>
    <w:rsid w:val="00934B8A"/>
    <w:rsid w:val="009369F1"/>
    <w:rsid w:val="00983A5F"/>
    <w:rsid w:val="009900F0"/>
    <w:rsid w:val="009A1608"/>
    <w:rsid w:val="009D1CBF"/>
    <w:rsid w:val="009D310B"/>
    <w:rsid w:val="009D7DBA"/>
    <w:rsid w:val="009F493A"/>
    <w:rsid w:val="00A07589"/>
    <w:rsid w:val="00A10844"/>
    <w:rsid w:val="00A12439"/>
    <w:rsid w:val="00A6524B"/>
    <w:rsid w:val="00A675B3"/>
    <w:rsid w:val="00A67CB3"/>
    <w:rsid w:val="00A82118"/>
    <w:rsid w:val="00A96208"/>
    <w:rsid w:val="00A96A6F"/>
    <w:rsid w:val="00AA078F"/>
    <w:rsid w:val="00AA14F3"/>
    <w:rsid w:val="00AA35E0"/>
    <w:rsid w:val="00AA4DA2"/>
    <w:rsid w:val="00AC488B"/>
    <w:rsid w:val="00AD1128"/>
    <w:rsid w:val="00B1066C"/>
    <w:rsid w:val="00B1217E"/>
    <w:rsid w:val="00B13418"/>
    <w:rsid w:val="00B13F7C"/>
    <w:rsid w:val="00B27236"/>
    <w:rsid w:val="00B32DBD"/>
    <w:rsid w:val="00B35FCE"/>
    <w:rsid w:val="00B40635"/>
    <w:rsid w:val="00B6665F"/>
    <w:rsid w:val="00B6753B"/>
    <w:rsid w:val="00B804B6"/>
    <w:rsid w:val="00BA349B"/>
    <w:rsid w:val="00BB3AC9"/>
    <w:rsid w:val="00BB3AEA"/>
    <w:rsid w:val="00BB46EF"/>
    <w:rsid w:val="00BD7748"/>
    <w:rsid w:val="00C0028F"/>
    <w:rsid w:val="00C00DC2"/>
    <w:rsid w:val="00C04F44"/>
    <w:rsid w:val="00C2206D"/>
    <w:rsid w:val="00C23989"/>
    <w:rsid w:val="00C35238"/>
    <w:rsid w:val="00C82514"/>
    <w:rsid w:val="00C82693"/>
    <w:rsid w:val="00C83FC4"/>
    <w:rsid w:val="00C91DB0"/>
    <w:rsid w:val="00CA07F5"/>
    <w:rsid w:val="00CB1081"/>
    <w:rsid w:val="00CC240F"/>
    <w:rsid w:val="00CD229B"/>
    <w:rsid w:val="00CE194F"/>
    <w:rsid w:val="00CF204C"/>
    <w:rsid w:val="00CF2687"/>
    <w:rsid w:val="00D04F32"/>
    <w:rsid w:val="00D051CC"/>
    <w:rsid w:val="00D20CB1"/>
    <w:rsid w:val="00D3177B"/>
    <w:rsid w:val="00D3286A"/>
    <w:rsid w:val="00D52BA9"/>
    <w:rsid w:val="00DA76E7"/>
    <w:rsid w:val="00DC0C35"/>
    <w:rsid w:val="00DC6BB4"/>
    <w:rsid w:val="00DD1F7B"/>
    <w:rsid w:val="00DD2326"/>
    <w:rsid w:val="00DD6490"/>
    <w:rsid w:val="00DE632D"/>
    <w:rsid w:val="00E01A35"/>
    <w:rsid w:val="00E04484"/>
    <w:rsid w:val="00E07A43"/>
    <w:rsid w:val="00E37495"/>
    <w:rsid w:val="00E45D3C"/>
    <w:rsid w:val="00E92EFC"/>
    <w:rsid w:val="00EA3273"/>
    <w:rsid w:val="00EB146C"/>
    <w:rsid w:val="00EB754C"/>
    <w:rsid w:val="00EC02C1"/>
    <w:rsid w:val="00ED3BF4"/>
    <w:rsid w:val="00F101AA"/>
    <w:rsid w:val="00F20B0C"/>
    <w:rsid w:val="00F2349E"/>
    <w:rsid w:val="00F25A72"/>
    <w:rsid w:val="00F27E3A"/>
    <w:rsid w:val="00F4243B"/>
    <w:rsid w:val="00F6070A"/>
    <w:rsid w:val="00F85A1F"/>
    <w:rsid w:val="00FC71B8"/>
    <w:rsid w:val="00FD2C68"/>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E46D"/>
  <w15:docId w15:val="{146CB195-F6C5-491F-B0B5-C8543DF8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eastAsia="en-US"/>
    </w:rPr>
  </w:style>
  <w:style w:type="paragraph" w:styleId="Heading1">
    <w:name w:val="heading 1"/>
    <w:basedOn w:val="Normal"/>
    <w:next w:val="Normal"/>
    <w:qFormat/>
    <w:pPr>
      <w:keepNext/>
      <w:outlineLvl w:val="0"/>
    </w:pPr>
    <w:rPr>
      <w:rFonts w:ascii="Verdana" w:eastAsia="Batang" w:hAnsi="Verdana"/>
      <w:b/>
      <w:bCs/>
      <w:i/>
      <w:iCs/>
      <w:sz w:val="18"/>
      <w:lang w:val="en-GB"/>
    </w:rPr>
  </w:style>
  <w:style w:type="paragraph" w:styleId="Heading2">
    <w:name w:val="heading 2"/>
    <w:basedOn w:val="Normal"/>
    <w:next w:val="Normal"/>
    <w:qFormat/>
    <w:pPr>
      <w:keepNext/>
      <w:outlineLvl w:val="1"/>
    </w:pPr>
    <w:rPr>
      <w:rFonts w:ascii="Verdana" w:hAnsi="Verdan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atang" w:eastAsia="Batang" w:hAnsi="Batang"/>
      <w:b/>
      <w:bCs/>
      <w:lang w:val="de-D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Verdana" w:eastAsia="Batang" w:hAnsi="Verdana"/>
      <w:sz w:val="18"/>
      <w:lang w:val="en-GB"/>
    </w:rPr>
  </w:style>
  <w:style w:type="paragraph" w:styleId="BodyText2">
    <w:name w:val="Body Text 2"/>
    <w:basedOn w:val="Normal"/>
    <w:rPr>
      <w:rFonts w:ascii="Verdana" w:eastAsia="Batang" w:hAnsi="Verdana"/>
      <w:i/>
      <w:iCs/>
      <w:sz w:val="18"/>
      <w:lang w:val="en-GB"/>
    </w:rPr>
  </w:style>
  <w:style w:type="table" w:styleId="TableGrid">
    <w:name w:val="Table Grid"/>
    <w:basedOn w:val="TableNormal"/>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208"/>
    <w:pPr>
      <w:spacing w:before="100" w:beforeAutospacing="1" w:after="100" w:afterAutospacing="1"/>
    </w:pPr>
    <w:rPr>
      <w:lang w:val="en-GB" w:eastAsia="en-GB"/>
    </w:rPr>
  </w:style>
  <w:style w:type="character" w:styleId="CommentReference">
    <w:name w:val="annotation reference"/>
    <w:uiPriority w:val="99"/>
    <w:semiHidden/>
    <w:unhideWhenUsed/>
    <w:rsid w:val="00CC240F"/>
    <w:rPr>
      <w:sz w:val="16"/>
      <w:szCs w:val="16"/>
    </w:rPr>
  </w:style>
  <w:style w:type="paragraph" w:styleId="CommentText">
    <w:name w:val="annotation text"/>
    <w:basedOn w:val="Normal"/>
    <w:link w:val="CommentTextChar"/>
    <w:uiPriority w:val="99"/>
    <w:semiHidden/>
    <w:unhideWhenUsed/>
    <w:rsid w:val="00CC240F"/>
    <w:pPr>
      <w:spacing w:after="200" w:line="276" w:lineRule="auto"/>
    </w:pPr>
    <w:rPr>
      <w:rFonts w:ascii="Calibri" w:eastAsia="Calibri" w:hAnsi="Calibri"/>
      <w:sz w:val="20"/>
      <w:szCs w:val="20"/>
      <w:lang w:val="fr-FR"/>
    </w:rPr>
  </w:style>
  <w:style w:type="character" w:customStyle="1" w:styleId="CommentTextChar">
    <w:name w:val="Comment Text Char"/>
    <w:basedOn w:val="DefaultParagraphFont"/>
    <w:link w:val="CommentText"/>
    <w:uiPriority w:val="99"/>
    <w:semiHidden/>
    <w:rsid w:val="00CC240F"/>
    <w:rPr>
      <w:rFonts w:ascii="Calibri" w:eastAsia="Calibri" w:hAnsi="Calibri"/>
      <w:lang w:val="fr-FR" w:eastAsia="en-US"/>
    </w:rPr>
  </w:style>
  <w:style w:type="paragraph" w:styleId="BalloonText">
    <w:name w:val="Balloon Text"/>
    <w:basedOn w:val="Normal"/>
    <w:link w:val="BalloonTextChar"/>
    <w:uiPriority w:val="99"/>
    <w:semiHidden/>
    <w:unhideWhenUsed/>
    <w:rsid w:val="00CC2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F"/>
    <w:rPr>
      <w:rFonts w:ascii="Segoe UI" w:hAnsi="Segoe UI" w:cs="Segoe UI"/>
      <w:sz w:val="18"/>
      <w:szCs w:val="18"/>
      <w:lang w:val="lv-LV" w:eastAsia="en-US"/>
    </w:rPr>
  </w:style>
  <w:style w:type="paragraph" w:styleId="ListParagraph">
    <w:name w:val="List Paragraph"/>
    <w:basedOn w:val="Normal"/>
    <w:uiPriority w:val="34"/>
    <w:qFormat/>
    <w:rsid w:val="00DD1F7B"/>
    <w:pPr>
      <w:ind w:left="720"/>
      <w:contextualSpacing/>
    </w:pPr>
  </w:style>
  <w:style w:type="paragraph" w:styleId="CommentSubject">
    <w:name w:val="annotation subject"/>
    <w:basedOn w:val="CommentText"/>
    <w:next w:val="CommentText"/>
    <w:link w:val="CommentSubjectChar"/>
    <w:uiPriority w:val="99"/>
    <w:semiHidden/>
    <w:unhideWhenUsed/>
    <w:rsid w:val="006A522F"/>
    <w:pPr>
      <w:spacing w:after="0" w:line="240" w:lineRule="auto"/>
    </w:pPr>
    <w:rPr>
      <w:rFonts w:ascii="Times New Roman" w:eastAsia="Times New Roman" w:hAnsi="Times New Roman"/>
      <w:b/>
      <w:bCs/>
      <w:lang w:val="lv-LV"/>
    </w:rPr>
  </w:style>
  <w:style w:type="character" w:customStyle="1" w:styleId="CommentSubjectChar">
    <w:name w:val="Comment Subject Char"/>
    <w:basedOn w:val="CommentTextChar"/>
    <w:link w:val="CommentSubject"/>
    <w:uiPriority w:val="99"/>
    <w:semiHidden/>
    <w:rsid w:val="006A522F"/>
    <w:rPr>
      <w:rFonts w:ascii="Calibri" w:eastAsia="Calibri" w:hAnsi="Calibri"/>
      <w:b/>
      <w:bCs/>
      <w:lang w:val="lv-LV" w:eastAsia="en-US"/>
    </w:rPr>
  </w:style>
  <w:style w:type="character" w:styleId="Hyperlink">
    <w:name w:val="Hyperlink"/>
    <w:basedOn w:val="DefaultParagraphFont"/>
    <w:uiPriority w:val="99"/>
    <w:unhideWhenUsed/>
    <w:rsid w:val="004020A4"/>
    <w:rPr>
      <w:color w:val="0563C1" w:themeColor="hyperlink"/>
      <w:u w:val="single"/>
    </w:rPr>
  </w:style>
  <w:style w:type="paragraph" w:styleId="EndnoteText">
    <w:name w:val="endnote text"/>
    <w:basedOn w:val="Normal"/>
    <w:link w:val="EndnoteTextChar"/>
    <w:uiPriority w:val="99"/>
    <w:semiHidden/>
    <w:unhideWhenUsed/>
    <w:rsid w:val="00371C58"/>
    <w:rPr>
      <w:sz w:val="20"/>
      <w:szCs w:val="20"/>
    </w:rPr>
  </w:style>
  <w:style w:type="character" w:customStyle="1" w:styleId="EndnoteTextChar">
    <w:name w:val="Endnote Text Char"/>
    <w:basedOn w:val="DefaultParagraphFont"/>
    <w:link w:val="EndnoteText"/>
    <w:uiPriority w:val="99"/>
    <w:semiHidden/>
    <w:rsid w:val="00371C58"/>
    <w:rPr>
      <w:lang w:val="lv-LV" w:eastAsia="en-US"/>
    </w:rPr>
  </w:style>
  <w:style w:type="character" w:styleId="EndnoteReference">
    <w:name w:val="endnote reference"/>
    <w:basedOn w:val="DefaultParagraphFont"/>
    <w:uiPriority w:val="99"/>
    <w:semiHidden/>
    <w:unhideWhenUsed/>
    <w:rsid w:val="00371C58"/>
    <w:rPr>
      <w:vertAlign w:val="superscript"/>
    </w:rPr>
  </w:style>
  <w:style w:type="character" w:styleId="UnresolvedMention">
    <w:name w:val="Unresolved Mention"/>
    <w:basedOn w:val="DefaultParagraphFont"/>
    <w:uiPriority w:val="99"/>
    <w:semiHidden/>
    <w:unhideWhenUsed/>
    <w:rsid w:val="001240BC"/>
    <w:rPr>
      <w:color w:val="605E5C"/>
      <w:shd w:val="clear" w:color="auto" w:fill="E1DFDD"/>
    </w:rPr>
  </w:style>
  <w:style w:type="character" w:styleId="Strong">
    <w:name w:val="Strong"/>
    <w:basedOn w:val="DefaultParagraphFont"/>
    <w:uiPriority w:val="22"/>
    <w:qFormat/>
    <w:rsid w:val="00791268"/>
    <w:rPr>
      <w:b/>
      <w:bCs/>
    </w:rPr>
  </w:style>
  <w:style w:type="character" w:customStyle="1" w:styleId="truncate">
    <w:name w:val="truncate"/>
    <w:basedOn w:val="DefaultParagraphFont"/>
    <w:rsid w:val="00A6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759">
      <w:bodyDiv w:val="1"/>
      <w:marLeft w:val="0"/>
      <w:marRight w:val="0"/>
      <w:marTop w:val="0"/>
      <w:marBottom w:val="0"/>
      <w:divBdr>
        <w:top w:val="none" w:sz="0" w:space="0" w:color="auto"/>
        <w:left w:val="none" w:sz="0" w:space="0" w:color="auto"/>
        <w:bottom w:val="none" w:sz="0" w:space="0" w:color="auto"/>
        <w:right w:val="none" w:sz="0" w:space="0" w:color="auto"/>
      </w:divBdr>
    </w:div>
    <w:div w:id="146942900">
      <w:bodyDiv w:val="1"/>
      <w:marLeft w:val="0"/>
      <w:marRight w:val="0"/>
      <w:marTop w:val="0"/>
      <w:marBottom w:val="0"/>
      <w:divBdr>
        <w:top w:val="none" w:sz="0" w:space="0" w:color="auto"/>
        <w:left w:val="none" w:sz="0" w:space="0" w:color="auto"/>
        <w:bottom w:val="none" w:sz="0" w:space="0" w:color="auto"/>
        <w:right w:val="none" w:sz="0" w:space="0" w:color="auto"/>
      </w:divBdr>
      <w:divsChild>
        <w:div w:id="1095518450">
          <w:marLeft w:val="0"/>
          <w:marRight w:val="0"/>
          <w:marTop w:val="0"/>
          <w:marBottom w:val="0"/>
          <w:divBdr>
            <w:top w:val="none" w:sz="0" w:space="0" w:color="auto"/>
            <w:left w:val="none" w:sz="0" w:space="0" w:color="auto"/>
            <w:bottom w:val="none" w:sz="0" w:space="0" w:color="auto"/>
            <w:right w:val="none" w:sz="0" w:space="0" w:color="auto"/>
          </w:divBdr>
        </w:div>
        <w:div w:id="241910059">
          <w:marLeft w:val="0"/>
          <w:marRight w:val="0"/>
          <w:marTop w:val="0"/>
          <w:marBottom w:val="0"/>
          <w:divBdr>
            <w:top w:val="none" w:sz="0" w:space="0" w:color="auto"/>
            <w:left w:val="none" w:sz="0" w:space="0" w:color="auto"/>
            <w:bottom w:val="none" w:sz="0" w:space="0" w:color="auto"/>
            <w:right w:val="none" w:sz="0" w:space="0" w:color="auto"/>
          </w:divBdr>
        </w:div>
        <w:div w:id="433865701">
          <w:marLeft w:val="0"/>
          <w:marRight w:val="0"/>
          <w:marTop w:val="0"/>
          <w:marBottom w:val="0"/>
          <w:divBdr>
            <w:top w:val="none" w:sz="0" w:space="0" w:color="auto"/>
            <w:left w:val="none" w:sz="0" w:space="0" w:color="auto"/>
            <w:bottom w:val="none" w:sz="0" w:space="0" w:color="auto"/>
            <w:right w:val="none" w:sz="0" w:space="0" w:color="auto"/>
          </w:divBdr>
        </w:div>
        <w:div w:id="1408458502">
          <w:marLeft w:val="0"/>
          <w:marRight w:val="0"/>
          <w:marTop w:val="0"/>
          <w:marBottom w:val="0"/>
          <w:divBdr>
            <w:top w:val="none" w:sz="0" w:space="0" w:color="auto"/>
            <w:left w:val="none" w:sz="0" w:space="0" w:color="auto"/>
            <w:bottom w:val="none" w:sz="0" w:space="0" w:color="auto"/>
            <w:right w:val="none" w:sz="0" w:space="0" w:color="auto"/>
          </w:divBdr>
        </w:div>
        <w:div w:id="231894151">
          <w:marLeft w:val="0"/>
          <w:marRight w:val="0"/>
          <w:marTop w:val="0"/>
          <w:marBottom w:val="0"/>
          <w:divBdr>
            <w:top w:val="none" w:sz="0" w:space="0" w:color="auto"/>
            <w:left w:val="none" w:sz="0" w:space="0" w:color="auto"/>
            <w:bottom w:val="none" w:sz="0" w:space="0" w:color="auto"/>
            <w:right w:val="none" w:sz="0" w:space="0" w:color="auto"/>
          </w:divBdr>
        </w:div>
        <w:div w:id="687218043">
          <w:marLeft w:val="0"/>
          <w:marRight w:val="0"/>
          <w:marTop w:val="0"/>
          <w:marBottom w:val="0"/>
          <w:divBdr>
            <w:top w:val="none" w:sz="0" w:space="0" w:color="auto"/>
            <w:left w:val="none" w:sz="0" w:space="0" w:color="auto"/>
            <w:bottom w:val="none" w:sz="0" w:space="0" w:color="auto"/>
            <w:right w:val="none" w:sz="0" w:space="0" w:color="auto"/>
          </w:divBdr>
        </w:div>
        <w:div w:id="204294319">
          <w:marLeft w:val="0"/>
          <w:marRight w:val="0"/>
          <w:marTop w:val="0"/>
          <w:marBottom w:val="0"/>
          <w:divBdr>
            <w:top w:val="none" w:sz="0" w:space="0" w:color="auto"/>
            <w:left w:val="none" w:sz="0" w:space="0" w:color="auto"/>
            <w:bottom w:val="none" w:sz="0" w:space="0" w:color="auto"/>
            <w:right w:val="none" w:sz="0" w:space="0" w:color="auto"/>
          </w:divBdr>
        </w:div>
      </w:divsChild>
    </w:div>
    <w:div w:id="186719244">
      <w:bodyDiv w:val="1"/>
      <w:marLeft w:val="0"/>
      <w:marRight w:val="0"/>
      <w:marTop w:val="0"/>
      <w:marBottom w:val="0"/>
      <w:divBdr>
        <w:top w:val="none" w:sz="0" w:space="0" w:color="auto"/>
        <w:left w:val="none" w:sz="0" w:space="0" w:color="auto"/>
        <w:bottom w:val="none" w:sz="0" w:space="0" w:color="auto"/>
        <w:right w:val="none" w:sz="0" w:space="0" w:color="auto"/>
      </w:divBdr>
      <w:divsChild>
        <w:div w:id="2131974391">
          <w:marLeft w:val="0"/>
          <w:marRight w:val="0"/>
          <w:marTop w:val="0"/>
          <w:marBottom w:val="0"/>
          <w:divBdr>
            <w:top w:val="none" w:sz="0" w:space="0" w:color="auto"/>
            <w:left w:val="none" w:sz="0" w:space="0" w:color="auto"/>
            <w:bottom w:val="none" w:sz="0" w:space="0" w:color="auto"/>
            <w:right w:val="none" w:sz="0" w:space="0" w:color="auto"/>
          </w:divBdr>
          <w:divsChild>
            <w:div w:id="2143159139">
              <w:marLeft w:val="0"/>
              <w:marRight w:val="0"/>
              <w:marTop w:val="0"/>
              <w:marBottom w:val="0"/>
              <w:divBdr>
                <w:top w:val="none" w:sz="0" w:space="0" w:color="auto"/>
                <w:left w:val="none" w:sz="0" w:space="0" w:color="auto"/>
                <w:bottom w:val="none" w:sz="0" w:space="0" w:color="auto"/>
                <w:right w:val="none" w:sz="0" w:space="0" w:color="auto"/>
              </w:divBdr>
              <w:divsChild>
                <w:div w:id="1357657809">
                  <w:marLeft w:val="0"/>
                  <w:marRight w:val="0"/>
                  <w:marTop w:val="0"/>
                  <w:marBottom w:val="0"/>
                  <w:divBdr>
                    <w:top w:val="none" w:sz="0" w:space="0" w:color="auto"/>
                    <w:left w:val="none" w:sz="0" w:space="0" w:color="auto"/>
                    <w:bottom w:val="none" w:sz="0" w:space="0" w:color="auto"/>
                    <w:right w:val="none" w:sz="0" w:space="0" w:color="auto"/>
                  </w:divBdr>
                  <w:divsChild>
                    <w:div w:id="73866314">
                      <w:marLeft w:val="0"/>
                      <w:marRight w:val="0"/>
                      <w:marTop w:val="0"/>
                      <w:marBottom w:val="0"/>
                      <w:divBdr>
                        <w:top w:val="none" w:sz="0" w:space="0" w:color="auto"/>
                        <w:left w:val="none" w:sz="0" w:space="0" w:color="auto"/>
                        <w:bottom w:val="none" w:sz="0" w:space="0" w:color="auto"/>
                        <w:right w:val="none" w:sz="0" w:space="0" w:color="auto"/>
                      </w:divBdr>
                      <w:divsChild>
                        <w:div w:id="89202907">
                          <w:marLeft w:val="0"/>
                          <w:marRight w:val="0"/>
                          <w:marTop w:val="0"/>
                          <w:marBottom w:val="0"/>
                          <w:divBdr>
                            <w:top w:val="none" w:sz="0" w:space="0" w:color="auto"/>
                            <w:left w:val="none" w:sz="0" w:space="0" w:color="auto"/>
                            <w:bottom w:val="none" w:sz="0" w:space="0" w:color="auto"/>
                            <w:right w:val="none" w:sz="0" w:space="0" w:color="auto"/>
                          </w:divBdr>
                        </w:div>
                        <w:div w:id="186412265">
                          <w:marLeft w:val="0"/>
                          <w:marRight w:val="0"/>
                          <w:marTop w:val="0"/>
                          <w:marBottom w:val="0"/>
                          <w:divBdr>
                            <w:top w:val="none" w:sz="0" w:space="0" w:color="auto"/>
                            <w:left w:val="none" w:sz="0" w:space="0" w:color="auto"/>
                            <w:bottom w:val="none" w:sz="0" w:space="0" w:color="auto"/>
                            <w:right w:val="none" w:sz="0" w:space="0" w:color="auto"/>
                          </w:divBdr>
                        </w:div>
                        <w:div w:id="1214389054">
                          <w:marLeft w:val="0"/>
                          <w:marRight w:val="0"/>
                          <w:marTop w:val="0"/>
                          <w:marBottom w:val="0"/>
                          <w:divBdr>
                            <w:top w:val="none" w:sz="0" w:space="0" w:color="auto"/>
                            <w:left w:val="none" w:sz="0" w:space="0" w:color="auto"/>
                            <w:bottom w:val="none" w:sz="0" w:space="0" w:color="auto"/>
                            <w:right w:val="none" w:sz="0" w:space="0" w:color="auto"/>
                          </w:divBdr>
                        </w:div>
                        <w:div w:id="806775328">
                          <w:marLeft w:val="0"/>
                          <w:marRight w:val="0"/>
                          <w:marTop w:val="0"/>
                          <w:marBottom w:val="0"/>
                          <w:divBdr>
                            <w:top w:val="none" w:sz="0" w:space="0" w:color="auto"/>
                            <w:left w:val="none" w:sz="0" w:space="0" w:color="auto"/>
                            <w:bottom w:val="none" w:sz="0" w:space="0" w:color="auto"/>
                            <w:right w:val="none" w:sz="0" w:space="0" w:color="auto"/>
                          </w:divBdr>
                        </w:div>
                        <w:div w:id="1786998846">
                          <w:marLeft w:val="0"/>
                          <w:marRight w:val="0"/>
                          <w:marTop w:val="0"/>
                          <w:marBottom w:val="0"/>
                          <w:divBdr>
                            <w:top w:val="none" w:sz="0" w:space="0" w:color="auto"/>
                            <w:left w:val="none" w:sz="0" w:space="0" w:color="auto"/>
                            <w:bottom w:val="none" w:sz="0" w:space="0" w:color="auto"/>
                            <w:right w:val="none" w:sz="0" w:space="0" w:color="auto"/>
                          </w:divBdr>
                        </w:div>
                        <w:div w:id="386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596078">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790129459">
      <w:bodyDiv w:val="1"/>
      <w:marLeft w:val="0"/>
      <w:marRight w:val="0"/>
      <w:marTop w:val="0"/>
      <w:marBottom w:val="0"/>
      <w:divBdr>
        <w:top w:val="none" w:sz="0" w:space="0" w:color="auto"/>
        <w:left w:val="none" w:sz="0" w:space="0" w:color="auto"/>
        <w:bottom w:val="none" w:sz="0" w:space="0" w:color="auto"/>
        <w:right w:val="none" w:sz="0" w:space="0" w:color="auto"/>
      </w:divBdr>
    </w:div>
    <w:div w:id="956371707">
      <w:bodyDiv w:val="1"/>
      <w:marLeft w:val="0"/>
      <w:marRight w:val="0"/>
      <w:marTop w:val="0"/>
      <w:marBottom w:val="0"/>
      <w:divBdr>
        <w:top w:val="none" w:sz="0" w:space="0" w:color="auto"/>
        <w:left w:val="none" w:sz="0" w:space="0" w:color="auto"/>
        <w:bottom w:val="none" w:sz="0" w:space="0" w:color="auto"/>
        <w:right w:val="none" w:sz="0" w:space="0" w:color="auto"/>
      </w:divBdr>
      <w:divsChild>
        <w:div w:id="1392461400">
          <w:marLeft w:val="0"/>
          <w:marRight w:val="0"/>
          <w:marTop w:val="0"/>
          <w:marBottom w:val="0"/>
          <w:divBdr>
            <w:top w:val="none" w:sz="0" w:space="0" w:color="auto"/>
            <w:left w:val="none" w:sz="0" w:space="0" w:color="auto"/>
            <w:bottom w:val="none" w:sz="0" w:space="0" w:color="auto"/>
            <w:right w:val="none" w:sz="0" w:space="0" w:color="auto"/>
          </w:divBdr>
          <w:divsChild>
            <w:div w:id="1206286200">
              <w:marLeft w:val="0"/>
              <w:marRight w:val="0"/>
              <w:marTop w:val="0"/>
              <w:marBottom w:val="0"/>
              <w:divBdr>
                <w:top w:val="none" w:sz="0" w:space="0" w:color="auto"/>
                <w:left w:val="none" w:sz="0" w:space="0" w:color="auto"/>
                <w:bottom w:val="none" w:sz="0" w:space="0" w:color="auto"/>
                <w:right w:val="none" w:sz="0" w:space="0" w:color="auto"/>
              </w:divBdr>
              <w:divsChild>
                <w:div w:id="888148518">
                  <w:marLeft w:val="0"/>
                  <w:marRight w:val="0"/>
                  <w:marTop w:val="0"/>
                  <w:marBottom w:val="0"/>
                  <w:divBdr>
                    <w:top w:val="none" w:sz="0" w:space="0" w:color="auto"/>
                    <w:left w:val="none" w:sz="0" w:space="0" w:color="auto"/>
                    <w:bottom w:val="none" w:sz="0" w:space="0" w:color="auto"/>
                    <w:right w:val="none" w:sz="0" w:space="0" w:color="auto"/>
                  </w:divBdr>
                  <w:divsChild>
                    <w:div w:id="2098407428">
                      <w:marLeft w:val="0"/>
                      <w:marRight w:val="0"/>
                      <w:marTop w:val="0"/>
                      <w:marBottom w:val="0"/>
                      <w:divBdr>
                        <w:top w:val="none" w:sz="0" w:space="0" w:color="auto"/>
                        <w:left w:val="none" w:sz="0" w:space="0" w:color="auto"/>
                        <w:bottom w:val="none" w:sz="0" w:space="0" w:color="auto"/>
                        <w:right w:val="none" w:sz="0" w:space="0" w:color="auto"/>
                      </w:divBdr>
                      <w:divsChild>
                        <w:div w:id="1215388242">
                          <w:marLeft w:val="0"/>
                          <w:marRight w:val="0"/>
                          <w:marTop w:val="0"/>
                          <w:marBottom w:val="0"/>
                          <w:divBdr>
                            <w:top w:val="none" w:sz="0" w:space="0" w:color="auto"/>
                            <w:left w:val="none" w:sz="0" w:space="0" w:color="auto"/>
                            <w:bottom w:val="none" w:sz="0" w:space="0" w:color="auto"/>
                            <w:right w:val="none" w:sz="0" w:space="0" w:color="auto"/>
                          </w:divBdr>
                        </w:div>
                        <w:div w:id="781269418">
                          <w:marLeft w:val="0"/>
                          <w:marRight w:val="0"/>
                          <w:marTop w:val="0"/>
                          <w:marBottom w:val="0"/>
                          <w:divBdr>
                            <w:top w:val="none" w:sz="0" w:space="0" w:color="auto"/>
                            <w:left w:val="none" w:sz="0" w:space="0" w:color="auto"/>
                            <w:bottom w:val="none" w:sz="0" w:space="0" w:color="auto"/>
                            <w:right w:val="none" w:sz="0" w:space="0" w:color="auto"/>
                          </w:divBdr>
                        </w:div>
                        <w:div w:id="1222522301">
                          <w:marLeft w:val="0"/>
                          <w:marRight w:val="0"/>
                          <w:marTop w:val="0"/>
                          <w:marBottom w:val="0"/>
                          <w:divBdr>
                            <w:top w:val="none" w:sz="0" w:space="0" w:color="auto"/>
                            <w:left w:val="none" w:sz="0" w:space="0" w:color="auto"/>
                            <w:bottom w:val="none" w:sz="0" w:space="0" w:color="auto"/>
                            <w:right w:val="none" w:sz="0" w:space="0" w:color="auto"/>
                          </w:divBdr>
                        </w:div>
                        <w:div w:id="1029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7473">
      <w:bodyDiv w:val="1"/>
      <w:marLeft w:val="0"/>
      <w:marRight w:val="0"/>
      <w:marTop w:val="0"/>
      <w:marBottom w:val="0"/>
      <w:divBdr>
        <w:top w:val="none" w:sz="0" w:space="0" w:color="auto"/>
        <w:left w:val="none" w:sz="0" w:space="0" w:color="auto"/>
        <w:bottom w:val="none" w:sz="0" w:space="0" w:color="auto"/>
        <w:right w:val="none" w:sz="0" w:space="0" w:color="auto"/>
      </w:divBdr>
    </w:div>
    <w:div w:id="1780637006">
      <w:bodyDiv w:val="1"/>
      <w:marLeft w:val="0"/>
      <w:marRight w:val="0"/>
      <w:marTop w:val="0"/>
      <w:marBottom w:val="0"/>
      <w:divBdr>
        <w:top w:val="none" w:sz="0" w:space="0" w:color="auto"/>
        <w:left w:val="none" w:sz="0" w:space="0" w:color="auto"/>
        <w:bottom w:val="none" w:sz="0" w:space="0" w:color="auto"/>
        <w:right w:val="none" w:sz="0" w:space="0" w:color="auto"/>
      </w:divBdr>
    </w:div>
    <w:div w:id="1784811941">
      <w:bodyDiv w:val="1"/>
      <w:marLeft w:val="0"/>
      <w:marRight w:val="0"/>
      <w:marTop w:val="0"/>
      <w:marBottom w:val="0"/>
      <w:divBdr>
        <w:top w:val="none" w:sz="0" w:space="0" w:color="auto"/>
        <w:left w:val="none" w:sz="0" w:space="0" w:color="auto"/>
        <w:bottom w:val="none" w:sz="0" w:space="0" w:color="auto"/>
        <w:right w:val="none" w:sz="0" w:space="0" w:color="auto"/>
      </w:divBdr>
    </w:div>
    <w:div w:id="19738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whoriskey@donegalcoco.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negal.ie/"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6E24-904C-43CA-A143-7F8E1D0C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1752</Words>
  <Characters>10817</Characters>
  <Application>Microsoft Office Word</Application>
  <DocSecurity>4</DocSecurity>
  <Lines>90</Lines>
  <Paragraphs>25</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Assessment procedure</vt:lpstr>
      <vt:lpstr>Assessment procedure</vt:lpstr>
      <vt:lpstr>Assessment procedure</vt:lpstr>
    </vt:vector>
  </TitlesOfParts>
  <Company>BSDA</Company>
  <LinksUpToDate>false</LinksUpToDate>
  <CharactersWithSpaces>12544</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creator>Administrator</dc:creator>
  <cp:lastModifiedBy>JOY BROWNE (HARRON)</cp:lastModifiedBy>
  <cp:revision>2</cp:revision>
  <cp:lastPrinted>2020-07-15T09:49:00Z</cp:lastPrinted>
  <dcterms:created xsi:type="dcterms:W3CDTF">2024-11-20T10:59:00Z</dcterms:created>
  <dcterms:modified xsi:type="dcterms:W3CDTF">2024-11-20T10:59:00Z</dcterms:modified>
</cp:coreProperties>
</file>