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ED98C" w14:textId="267B876A" w:rsidR="00FA1404" w:rsidRPr="00FA1404" w:rsidRDefault="00DB543A" w:rsidP="00FA1404">
      <w:pPr>
        <w:rPr>
          <w:rFonts w:ascii="Times New Roman" w:hAnsi="Times New Roman" w:cs="Times New Roman"/>
        </w:rPr>
      </w:pPr>
      <w:r w:rsidRPr="00DB543A">
        <w:rPr>
          <w:rFonts w:ascii="Times New Roman" w:hAnsi="Times New Roman" w:cs="Times New Roman"/>
          <w:b/>
          <w:bCs/>
          <w:sz w:val="28"/>
          <w:szCs w:val="28"/>
          <w:lang w:val="en-US"/>
        </w:rPr>
        <w:t>Fixed</w:t>
      </w:r>
      <w:r w:rsidR="00FA1404" w:rsidRPr="00DB543A">
        <w:rPr>
          <w:rFonts w:ascii="Times New Roman" w:hAnsi="Times New Roman" w:cs="Times New Roman"/>
          <w:b/>
          <w:bCs/>
          <w:sz w:val="28"/>
          <w:szCs w:val="28"/>
          <w:lang w:val="en-US"/>
        </w:rPr>
        <w:t xml:space="preserve"> </w:t>
      </w:r>
      <w:r w:rsidR="00FA1404" w:rsidRPr="009632D9">
        <w:rPr>
          <w:rFonts w:ascii="Times New Roman" w:hAnsi="Times New Roman" w:cs="Times New Roman"/>
          <w:b/>
          <w:bCs/>
          <w:sz w:val="28"/>
          <w:szCs w:val="28"/>
          <w:lang w:val="en-US"/>
        </w:rPr>
        <w:t xml:space="preserve">Rates </w:t>
      </w:r>
      <w:r>
        <w:rPr>
          <w:rFonts w:ascii="Times New Roman" w:hAnsi="Times New Roman" w:cs="Times New Roman"/>
          <w:b/>
          <w:bCs/>
          <w:sz w:val="28"/>
          <w:szCs w:val="28"/>
          <w:lang w:val="en-US"/>
        </w:rPr>
        <w:t>to subsidize</w:t>
      </w:r>
      <w:r w:rsidRPr="009632D9">
        <w:rPr>
          <w:rFonts w:ascii="Times New Roman" w:hAnsi="Times New Roman" w:cs="Times New Roman"/>
          <w:b/>
          <w:bCs/>
          <w:sz w:val="28"/>
          <w:szCs w:val="28"/>
          <w:lang w:val="en-US"/>
        </w:rPr>
        <w:t xml:space="preserve"> </w:t>
      </w:r>
      <w:r w:rsidR="00FA1404" w:rsidRPr="009632D9">
        <w:rPr>
          <w:rFonts w:ascii="Times New Roman" w:hAnsi="Times New Roman" w:cs="Times New Roman"/>
          <w:b/>
          <w:bCs/>
          <w:sz w:val="28"/>
          <w:szCs w:val="28"/>
          <w:lang w:val="en-US"/>
        </w:rPr>
        <w:t xml:space="preserve">solar power plants in </w:t>
      </w:r>
      <w:r w:rsidR="00A36C4D">
        <w:rPr>
          <w:rFonts w:ascii="Times New Roman" w:hAnsi="Times New Roman" w:cs="Times New Roman"/>
          <w:b/>
          <w:bCs/>
          <w:sz w:val="28"/>
          <w:szCs w:val="28"/>
          <w:lang w:val="en-US"/>
        </w:rPr>
        <w:t xml:space="preserve">CAP farm investment projects </w:t>
      </w:r>
    </w:p>
    <w:p w14:paraId="689CACC5" w14:textId="77777777" w:rsidR="00FA1404" w:rsidRPr="006371E4" w:rsidRDefault="00FA1404" w:rsidP="00FA1404">
      <w:pPr>
        <w:rPr>
          <w:rFonts w:ascii="Times New Roman" w:hAnsi="Times New Roman" w:cs="Times New Roman"/>
          <w:b/>
          <w:bCs/>
          <w:sz w:val="24"/>
          <w:szCs w:val="24"/>
          <w:lang w:val="en-US"/>
        </w:rPr>
      </w:pPr>
      <w:r w:rsidRPr="006371E4">
        <w:rPr>
          <w:rFonts w:ascii="Times New Roman" w:hAnsi="Times New Roman" w:cs="Times New Roman"/>
          <w:b/>
          <w:bCs/>
          <w:sz w:val="24"/>
          <w:szCs w:val="24"/>
          <w:lang w:val="en-US"/>
        </w:rPr>
        <w:t>Short summary of the practice:</w:t>
      </w:r>
    </w:p>
    <w:p w14:paraId="15875E6A" w14:textId="3A4691E0" w:rsidR="00C82FE1" w:rsidRPr="006371E4" w:rsidRDefault="00C82FE1" w:rsidP="00C82FE1">
      <w:pPr>
        <w:rPr>
          <w:rFonts w:ascii="Times New Roman" w:hAnsi="Times New Roman" w:cs="Times New Roman"/>
          <w:sz w:val="24"/>
          <w:szCs w:val="24"/>
          <w:lang w:val="en-US"/>
        </w:rPr>
      </w:pPr>
      <w:r w:rsidRPr="006371E4">
        <w:rPr>
          <w:rFonts w:ascii="Times New Roman" w:hAnsi="Times New Roman" w:cs="Times New Roman"/>
          <w:sz w:val="24"/>
          <w:szCs w:val="24"/>
          <w:lang w:val="en-US"/>
        </w:rPr>
        <w:t>In Lithuania, according to the Lithuanian 2023-2027 Agriculture Strategic plan, fixed rates (as one of a simplified costs options) are applied to subsidize solar power plants in CAP farm investment projects.</w:t>
      </w:r>
    </w:p>
    <w:p w14:paraId="66F2E6EF" w14:textId="77777777" w:rsidR="00FA1404" w:rsidRPr="006371E4" w:rsidRDefault="00FA1404" w:rsidP="00FA1404">
      <w:pPr>
        <w:rPr>
          <w:rFonts w:ascii="Times New Roman" w:hAnsi="Times New Roman" w:cs="Times New Roman"/>
          <w:b/>
          <w:bCs/>
          <w:sz w:val="24"/>
          <w:szCs w:val="24"/>
          <w:lang w:val="en-US"/>
        </w:rPr>
      </w:pPr>
      <w:r w:rsidRPr="006371E4">
        <w:rPr>
          <w:rFonts w:ascii="Times New Roman" w:hAnsi="Times New Roman" w:cs="Times New Roman"/>
          <w:b/>
          <w:bCs/>
          <w:sz w:val="24"/>
          <w:szCs w:val="24"/>
          <w:lang w:val="en-US"/>
        </w:rPr>
        <w:t>Detailed information on the practice:</w:t>
      </w:r>
    </w:p>
    <w:p w14:paraId="0F923C6A" w14:textId="5E1F72F6" w:rsidR="00FA1404" w:rsidRPr="00827E3B" w:rsidRDefault="00C82FE1" w:rsidP="00FA1404">
      <w:pPr>
        <w:rPr>
          <w:rFonts w:ascii="Times New Roman" w:hAnsi="Times New Roman" w:cs="Times New Roman"/>
          <w:sz w:val="24"/>
          <w:szCs w:val="24"/>
          <w:lang w:val="en-US"/>
        </w:rPr>
      </w:pPr>
      <w:r w:rsidRPr="006371E4">
        <w:rPr>
          <w:rFonts w:ascii="Times New Roman" w:hAnsi="Times New Roman" w:cs="Times New Roman"/>
          <w:b/>
          <w:bCs/>
          <w:sz w:val="24"/>
          <w:szCs w:val="24"/>
          <w:lang w:val="en-US"/>
        </w:rPr>
        <w:t>Problem an</w:t>
      </w:r>
      <w:r w:rsidRPr="00EA14FB">
        <w:rPr>
          <w:rFonts w:ascii="Times New Roman" w:hAnsi="Times New Roman" w:cs="Times New Roman"/>
          <w:b/>
          <w:bCs/>
          <w:sz w:val="24"/>
          <w:szCs w:val="24"/>
          <w:lang w:val="en-US"/>
        </w:rPr>
        <w:t>d context:</w:t>
      </w:r>
      <w:r w:rsidRPr="00EA14FB">
        <w:rPr>
          <w:rFonts w:ascii="Times New Roman" w:hAnsi="Times New Roman" w:cs="Times New Roman"/>
          <w:sz w:val="24"/>
          <w:szCs w:val="24"/>
          <w:lang w:val="en-US"/>
        </w:rPr>
        <w:t xml:space="preserve"> </w:t>
      </w:r>
      <w:r w:rsidR="00DE5B4F" w:rsidRPr="006371E4">
        <w:rPr>
          <w:rFonts w:ascii="Times New Roman" w:hAnsi="Times New Roman" w:cs="Times New Roman"/>
          <w:sz w:val="24"/>
          <w:szCs w:val="24"/>
          <w:lang w:val="en-US"/>
        </w:rPr>
        <w:t xml:space="preserve"> The Lithuanian agricultural sector faces challenges related to rising energy prices and the effects of climate change. Traditional energy sources in rural areas are not only expensive, but also reduce sustainability. Many farmers have faced difficulties in installing solar power plants due to high installation costs and limited financing options. Therefore, a practice has been introduced whereby farmers who invest in solar power plants under their CAP farm investment projects get the subsidy based on the fixed rates per k</w:t>
      </w:r>
      <w:r w:rsidR="00F71AD7" w:rsidRPr="006371E4">
        <w:rPr>
          <w:rFonts w:ascii="Times New Roman" w:hAnsi="Times New Roman" w:cs="Times New Roman"/>
          <w:sz w:val="24"/>
          <w:szCs w:val="24"/>
          <w:lang w:val="en-US"/>
        </w:rPr>
        <w:t>W</w:t>
      </w:r>
      <w:r w:rsidR="00DE5B4F" w:rsidRPr="006371E4">
        <w:rPr>
          <w:rFonts w:ascii="Times New Roman" w:hAnsi="Times New Roman" w:cs="Times New Roman"/>
          <w:sz w:val="24"/>
          <w:szCs w:val="24"/>
          <w:lang w:val="en-US"/>
        </w:rPr>
        <w:t xml:space="preserve">. Fixed rate is one of the instruments of Simplified Cost Options (SCO), promoted by European Commission. If SCO instrument is used, no commercial offers, invoices, public procurement documents </w:t>
      </w:r>
      <w:proofErr w:type="gramStart"/>
      <w:r w:rsidR="00DE5B4F" w:rsidRPr="006371E4">
        <w:rPr>
          <w:rFonts w:ascii="Times New Roman" w:hAnsi="Times New Roman" w:cs="Times New Roman"/>
          <w:sz w:val="24"/>
          <w:szCs w:val="24"/>
          <w:lang w:val="en-US"/>
        </w:rPr>
        <w:t>and etc.</w:t>
      </w:r>
      <w:proofErr w:type="gramEnd"/>
      <w:r w:rsidR="00DE5B4F" w:rsidRPr="006371E4">
        <w:rPr>
          <w:rFonts w:ascii="Times New Roman" w:hAnsi="Times New Roman" w:cs="Times New Roman"/>
          <w:sz w:val="24"/>
          <w:szCs w:val="24"/>
          <w:lang w:val="en-US"/>
        </w:rPr>
        <w:t xml:space="preserve"> </w:t>
      </w:r>
      <w:r w:rsidR="00F71AD7" w:rsidRPr="006371E4">
        <w:rPr>
          <w:rFonts w:ascii="Times New Roman" w:hAnsi="Times New Roman" w:cs="Times New Roman"/>
          <w:sz w:val="24"/>
          <w:szCs w:val="24"/>
          <w:lang w:val="en-US"/>
        </w:rPr>
        <w:t xml:space="preserve">are </w:t>
      </w:r>
      <w:r w:rsidR="00DE5B4F" w:rsidRPr="006371E4">
        <w:rPr>
          <w:rFonts w:ascii="Times New Roman" w:hAnsi="Times New Roman" w:cs="Times New Roman"/>
          <w:sz w:val="24"/>
          <w:szCs w:val="24"/>
          <w:lang w:val="en-US"/>
        </w:rPr>
        <w:t xml:space="preserve">needed to be submitted with the subsidy claim. </w:t>
      </w:r>
      <w:r w:rsidR="009E4605">
        <w:rPr>
          <w:rFonts w:ascii="Times New Roman" w:hAnsi="Times New Roman" w:cs="Times New Roman"/>
          <w:sz w:val="24"/>
          <w:szCs w:val="24"/>
          <w:lang w:val="en-US"/>
        </w:rPr>
        <w:t xml:space="preserve">With this approach, the administrative burden is reduced </w:t>
      </w:r>
      <w:proofErr w:type="spellStart"/>
      <w:r w:rsidR="009E4605" w:rsidRPr="009E4605">
        <w:rPr>
          <w:rFonts w:ascii="Times New Roman" w:hAnsi="Times New Roman" w:cs="Times New Roman"/>
          <w:sz w:val="24"/>
          <w:szCs w:val="24"/>
          <w:lang w:val="en-US"/>
        </w:rPr>
        <w:t>significally</w:t>
      </w:r>
      <w:proofErr w:type="spellEnd"/>
      <w:r w:rsidR="009E4605">
        <w:rPr>
          <w:rFonts w:ascii="Times New Roman" w:hAnsi="Times New Roman" w:cs="Times New Roman"/>
          <w:sz w:val="24"/>
          <w:szCs w:val="24"/>
          <w:lang w:val="en-US"/>
        </w:rPr>
        <w:t xml:space="preserve">. </w:t>
      </w:r>
      <w:r w:rsidR="00F71AD7" w:rsidRPr="009E4605">
        <w:rPr>
          <w:rFonts w:ascii="Times New Roman" w:hAnsi="Times New Roman" w:cs="Times New Roman"/>
          <w:sz w:val="24"/>
          <w:szCs w:val="24"/>
          <w:lang w:val="en-US"/>
        </w:rPr>
        <w:t>Also, fixed rates can</w:t>
      </w:r>
      <w:r w:rsidR="009944FE">
        <w:rPr>
          <w:rFonts w:ascii="Times New Roman" w:hAnsi="Times New Roman" w:cs="Times New Roman"/>
          <w:sz w:val="24"/>
          <w:szCs w:val="24"/>
          <w:lang w:val="en-US"/>
        </w:rPr>
        <w:t xml:space="preserve"> be and are</w:t>
      </w:r>
      <w:r w:rsidR="00F71AD7" w:rsidRPr="009E4605">
        <w:rPr>
          <w:rFonts w:ascii="Times New Roman" w:hAnsi="Times New Roman" w:cs="Times New Roman"/>
          <w:sz w:val="24"/>
          <w:szCs w:val="24"/>
          <w:lang w:val="en-US"/>
        </w:rPr>
        <w:t xml:space="preserve"> higher, than regular (co-financing) subsidy rates</w:t>
      </w:r>
      <w:r w:rsidR="00EF4D01">
        <w:rPr>
          <w:rFonts w:ascii="Times New Roman" w:hAnsi="Times New Roman" w:cs="Times New Roman"/>
          <w:sz w:val="24"/>
          <w:szCs w:val="24"/>
          <w:lang w:val="en-US"/>
        </w:rPr>
        <w:t xml:space="preserve">, also, each year there are adjustment based on market situation </w:t>
      </w:r>
      <w:r w:rsidR="00EF4D01" w:rsidRPr="00D53ED8">
        <w:rPr>
          <w:rFonts w:ascii="Times New Roman" w:hAnsi="Times New Roman" w:cs="Times New Roman"/>
          <w:sz w:val="24"/>
          <w:szCs w:val="24"/>
          <w:lang w:val="en-US"/>
        </w:rPr>
        <w:t>and technological achievements. They cover all the main stages of installing a solar power plant: from design to installation. This ensures that farmers receive fair support that is in line with market prices, thereby reducing the risk of errors in project financing and increasing the transparency of project implementation.</w:t>
      </w:r>
    </w:p>
    <w:p w14:paraId="78245CF6" w14:textId="466BC8D9" w:rsidR="00FA1404" w:rsidRPr="00827E3B" w:rsidRDefault="00FA1404" w:rsidP="00FA1404">
      <w:pPr>
        <w:rPr>
          <w:rFonts w:ascii="Times New Roman" w:hAnsi="Times New Roman" w:cs="Times New Roman"/>
          <w:sz w:val="24"/>
          <w:szCs w:val="24"/>
          <w:lang w:val="en-US"/>
        </w:rPr>
      </w:pPr>
    </w:p>
    <w:p w14:paraId="55F7832B" w14:textId="77777777" w:rsidR="00D53ED8" w:rsidRPr="00167048" w:rsidRDefault="00FA1404" w:rsidP="00D53ED8">
      <w:pPr>
        <w:rPr>
          <w:rFonts w:ascii="Times New Roman" w:hAnsi="Times New Roman" w:cs="Times New Roman"/>
          <w:sz w:val="24"/>
          <w:szCs w:val="24"/>
          <w:lang w:val="en-US"/>
        </w:rPr>
      </w:pPr>
      <w:r w:rsidRPr="00827E3B">
        <w:rPr>
          <w:rFonts w:ascii="Times New Roman" w:hAnsi="Times New Roman" w:cs="Times New Roman"/>
          <w:b/>
          <w:bCs/>
          <w:sz w:val="24"/>
          <w:szCs w:val="24"/>
          <w:lang w:val="en-US"/>
        </w:rPr>
        <w:t>Achievement and implementation of objectives:</w:t>
      </w:r>
      <w:r w:rsidRPr="00827E3B">
        <w:rPr>
          <w:rFonts w:ascii="Times New Roman" w:hAnsi="Times New Roman" w:cs="Times New Roman"/>
          <w:sz w:val="24"/>
          <w:szCs w:val="24"/>
          <w:lang w:val="en-US"/>
        </w:rPr>
        <w:t xml:space="preserve"> </w:t>
      </w:r>
    </w:p>
    <w:p w14:paraId="62A20F1F" w14:textId="328977B8" w:rsidR="00D53ED8" w:rsidRPr="00167048" w:rsidRDefault="00D53ED8" w:rsidP="00D53ED8">
      <w:pPr>
        <w:rPr>
          <w:rFonts w:ascii="Times New Roman" w:hAnsi="Times New Roman" w:cs="Times New Roman"/>
          <w:sz w:val="24"/>
          <w:szCs w:val="24"/>
          <w:lang w:val="en-US"/>
        </w:rPr>
      </w:pPr>
      <w:r w:rsidRPr="00167048">
        <w:rPr>
          <w:rFonts w:ascii="Times New Roman" w:hAnsi="Times New Roman" w:cs="Times New Roman"/>
          <w:sz w:val="24"/>
          <w:szCs w:val="24"/>
          <w:lang w:val="en-US"/>
        </w:rPr>
        <w:t xml:space="preserve">Practice is implemented </w:t>
      </w:r>
      <w:r>
        <w:rPr>
          <w:rFonts w:ascii="Times New Roman" w:hAnsi="Times New Roman" w:cs="Times New Roman"/>
          <w:sz w:val="24"/>
          <w:szCs w:val="24"/>
          <w:lang w:val="en-US"/>
        </w:rPr>
        <w:t xml:space="preserve">under </w:t>
      </w:r>
      <w:r w:rsidRPr="0044375F">
        <w:rPr>
          <w:rFonts w:ascii="Times New Roman" w:hAnsi="Times New Roman" w:cs="Times New Roman"/>
          <w:sz w:val="24"/>
          <w:szCs w:val="24"/>
          <w:lang w:val="en-US"/>
        </w:rPr>
        <w:t>Lithuanian 2023-2027 Agriculture Strategic plan</w:t>
      </w:r>
      <w:r>
        <w:rPr>
          <w:rFonts w:ascii="Times New Roman" w:hAnsi="Times New Roman" w:cs="Times New Roman"/>
          <w:sz w:val="24"/>
          <w:szCs w:val="24"/>
          <w:lang w:val="en-US"/>
        </w:rPr>
        <w:t xml:space="preserve"> to fulfill </w:t>
      </w:r>
      <w:r w:rsidRPr="00167048">
        <w:rPr>
          <w:rFonts w:ascii="Times New Roman" w:hAnsi="Times New Roman" w:cs="Times New Roman"/>
          <w:sz w:val="24"/>
          <w:szCs w:val="24"/>
          <w:lang w:val="en-US"/>
        </w:rPr>
        <w:t>Lithuania's obligations under the European Green Course and the European Union's Climate Strategy. In addition, it contributes to climate change mitigation goals and the renewal of the agricultural sector.</w:t>
      </w:r>
      <w:r w:rsidR="00445738">
        <w:rPr>
          <w:rFonts w:ascii="Times New Roman" w:hAnsi="Times New Roman" w:cs="Times New Roman"/>
          <w:sz w:val="24"/>
          <w:szCs w:val="24"/>
          <w:lang w:val="en-US"/>
        </w:rPr>
        <w:t xml:space="preserve"> </w:t>
      </w:r>
    </w:p>
    <w:p w14:paraId="260F3AE3" w14:textId="487184AB" w:rsidR="00FA1404" w:rsidRPr="00D53ED8" w:rsidRDefault="00445738" w:rsidP="00FA1404">
      <w:pPr>
        <w:rPr>
          <w:rFonts w:ascii="Times New Roman" w:hAnsi="Times New Roman" w:cs="Times New Roman"/>
          <w:sz w:val="24"/>
          <w:szCs w:val="24"/>
          <w:lang w:val="en-US"/>
        </w:rPr>
      </w:pPr>
      <w:r>
        <w:rPr>
          <w:rFonts w:ascii="Times New Roman" w:hAnsi="Times New Roman" w:cs="Times New Roman"/>
          <w:sz w:val="24"/>
          <w:szCs w:val="24"/>
          <w:lang w:val="en-US"/>
        </w:rPr>
        <w:t xml:space="preserve">Fixed rates </w:t>
      </w:r>
      <w:r w:rsidR="00FA1404" w:rsidRPr="00D53ED8">
        <w:rPr>
          <w:rFonts w:ascii="Times New Roman" w:hAnsi="Times New Roman" w:cs="Times New Roman"/>
          <w:sz w:val="24"/>
          <w:szCs w:val="24"/>
          <w:lang w:val="en-US"/>
        </w:rPr>
        <w:t xml:space="preserve">help farmers to estimate the possible costs of the project more easily and </w:t>
      </w:r>
      <w:r w:rsidR="00A17F4B">
        <w:rPr>
          <w:rFonts w:ascii="Times New Roman" w:hAnsi="Times New Roman" w:cs="Times New Roman"/>
          <w:sz w:val="24"/>
          <w:szCs w:val="24"/>
          <w:lang w:val="en-US"/>
        </w:rPr>
        <w:t>follow</w:t>
      </w:r>
      <w:r w:rsidR="00A17F4B" w:rsidRPr="00D53ED8">
        <w:rPr>
          <w:rFonts w:ascii="Times New Roman" w:hAnsi="Times New Roman" w:cs="Times New Roman"/>
          <w:sz w:val="24"/>
          <w:szCs w:val="24"/>
          <w:lang w:val="en-US"/>
        </w:rPr>
        <w:t xml:space="preserve"> </w:t>
      </w:r>
      <w:r w:rsidR="00DE7D56">
        <w:rPr>
          <w:rFonts w:ascii="Times New Roman" w:hAnsi="Times New Roman" w:cs="Times New Roman"/>
          <w:sz w:val="24"/>
          <w:szCs w:val="24"/>
          <w:lang w:val="en-US"/>
        </w:rPr>
        <w:t>simple</w:t>
      </w:r>
      <w:r w:rsidR="00DE7D56" w:rsidRPr="00D53ED8">
        <w:rPr>
          <w:rFonts w:ascii="Times New Roman" w:hAnsi="Times New Roman" w:cs="Times New Roman"/>
          <w:sz w:val="24"/>
          <w:szCs w:val="24"/>
          <w:lang w:val="en-US"/>
        </w:rPr>
        <w:t xml:space="preserve"> </w:t>
      </w:r>
      <w:r w:rsidR="00A17F4B">
        <w:rPr>
          <w:rFonts w:ascii="Times New Roman" w:hAnsi="Times New Roman" w:cs="Times New Roman"/>
          <w:sz w:val="24"/>
          <w:szCs w:val="24"/>
          <w:lang w:val="en-US"/>
        </w:rPr>
        <w:t>procedures</w:t>
      </w:r>
      <w:r w:rsidR="00A17F4B" w:rsidRPr="00D53ED8">
        <w:rPr>
          <w:rFonts w:ascii="Times New Roman" w:hAnsi="Times New Roman" w:cs="Times New Roman"/>
          <w:sz w:val="24"/>
          <w:szCs w:val="24"/>
          <w:lang w:val="en-US"/>
        </w:rPr>
        <w:t xml:space="preserve"> </w:t>
      </w:r>
      <w:r w:rsidR="00FA1404" w:rsidRPr="00D53ED8">
        <w:rPr>
          <w:rFonts w:ascii="Times New Roman" w:hAnsi="Times New Roman" w:cs="Times New Roman"/>
          <w:sz w:val="24"/>
          <w:szCs w:val="24"/>
          <w:lang w:val="en-US"/>
        </w:rPr>
        <w:t>of financing.</w:t>
      </w:r>
    </w:p>
    <w:p w14:paraId="512DE7CE" w14:textId="3714AD11" w:rsidR="00FA1404" w:rsidRPr="00D53ED8" w:rsidRDefault="00437440" w:rsidP="00FA1404">
      <w:pPr>
        <w:rPr>
          <w:rFonts w:ascii="Times New Roman" w:hAnsi="Times New Roman" w:cs="Times New Roman"/>
          <w:sz w:val="24"/>
          <w:szCs w:val="24"/>
          <w:lang w:val="en-US"/>
        </w:rPr>
      </w:pPr>
      <w:r w:rsidRPr="00167048">
        <w:rPr>
          <w:rFonts w:ascii="Times New Roman" w:hAnsi="Times New Roman" w:cs="Times New Roman"/>
          <w:b/>
          <w:bCs/>
          <w:sz w:val="24"/>
          <w:szCs w:val="24"/>
          <w:lang w:val="en-US"/>
        </w:rPr>
        <w:t>Important participants and users:</w:t>
      </w:r>
      <w:r w:rsidRPr="00167048">
        <w:rPr>
          <w:rFonts w:ascii="Times New Roman" w:hAnsi="Times New Roman" w:cs="Times New Roman"/>
          <w:sz w:val="24"/>
          <w:szCs w:val="24"/>
          <w:lang w:val="en-US"/>
        </w:rPr>
        <w:t xml:space="preserve"> The main participants were the Ministry of Agriculture of Lithuania, </w:t>
      </w:r>
      <w:r>
        <w:rPr>
          <w:rFonts w:ascii="Times New Roman" w:hAnsi="Times New Roman" w:cs="Times New Roman"/>
          <w:sz w:val="24"/>
          <w:szCs w:val="24"/>
          <w:lang w:val="en-US"/>
        </w:rPr>
        <w:t xml:space="preserve">National (CAP) Paying Agency, independent </w:t>
      </w:r>
      <w:proofErr w:type="gramStart"/>
      <w:r w:rsidRPr="00167048">
        <w:rPr>
          <w:rFonts w:ascii="Times New Roman" w:hAnsi="Times New Roman" w:cs="Times New Roman"/>
          <w:sz w:val="24"/>
          <w:szCs w:val="24"/>
          <w:lang w:val="en-US"/>
        </w:rPr>
        <w:t>consultants</w:t>
      </w:r>
      <w:proofErr w:type="gramEnd"/>
      <w:r w:rsidRPr="00167048">
        <w:rPr>
          <w:rFonts w:ascii="Times New Roman" w:hAnsi="Times New Roman" w:cs="Times New Roman"/>
          <w:sz w:val="24"/>
          <w:szCs w:val="24"/>
          <w:lang w:val="en-US"/>
        </w:rPr>
        <w:t xml:space="preserve"> and the community of farmers themselves. These entities provided both financial support and practical assistance needed for the implementation of solar power projects. The beneficiaries were farmers, who were helped by this practice to reduce energy costs and contribute to the country's sustainability goals.</w:t>
      </w:r>
    </w:p>
    <w:p w14:paraId="6922BD99" w14:textId="77777777" w:rsidR="00FA1404" w:rsidRPr="00D53ED8" w:rsidRDefault="00FA1404" w:rsidP="00FA1404">
      <w:pPr>
        <w:rPr>
          <w:rFonts w:ascii="Times New Roman" w:hAnsi="Times New Roman" w:cs="Times New Roman"/>
          <w:b/>
          <w:bCs/>
          <w:sz w:val="24"/>
          <w:szCs w:val="24"/>
          <w:lang w:val="en-US"/>
        </w:rPr>
      </w:pPr>
      <w:r w:rsidRPr="00D53ED8">
        <w:rPr>
          <w:rFonts w:ascii="Times New Roman" w:hAnsi="Times New Roman" w:cs="Times New Roman"/>
          <w:b/>
          <w:bCs/>
          <w:sz w:val="24"/>
          <w:szCs w:val="24"/>
          <w:lang w:val="en-US"/>
        </w:rPr>
        <w:t>Timescale (start/end date):</w:t>
      </w:r>
    </w:p>
    <w:p w14:paraId="627E07CE" w14:textId="77777777" w:rsidR="00827E3B" w:rsidRDefault="00C85C0B" w:rsidP="00FA1404">
      <w:pPr>
        <w:rPr>
          <w:rFonts w:ascii="Times New Roman" w:hAnsi="Times New Roman" w:cs="Times New Roman"/>
          <w:sz w:val="24"/>
          <w:szCs w:val="24"/>
          <w:lang w:val="en-US"/>
        </w:rPr>
      </w:pPr>
      <w:r>
        <w:rPr>
          <w:rFonts w:ascii="Times New Roman" w:hAnsi="Times New Roman" w:cs="Times New Roman"/>
          <w:sz w:val="24"/>
          <w:szCs w:val="24"/>
          <w:lang w:val="en-US"/>
        </w:rPr>
        <w:t>2023-2027</w:t>
      </w:r>
    </w:p>
    <w:p w14:paraId="7F1BE6DF" w14:textId="0D2F167A" w:rsidR="00FA1404" w:rsidRPr="00D53ED8" w:rsidRDefault="00FA1404" w:rsidP="00FA1404">
      <w:pPr>
        <w:rPr>
          <w:rFonts w:ascii="Times New Roman" w:hAnsi="Times New Roman" w:cs="Times New Roman"/>
          <w:b/>
          <w:bCs/>
          <w:sz w:val="24"/>
          <w:szCs w:val="24"/>
          <w:lang w:val="en-US"/>
        </w:rPr>
      </w:pPr>
      <w:r w:rsidRPr="00D53ED8">
        <w:rPr>
          <w:rFonts w:ascii="Times New Roman" w:hAnsi="Times New Roman" w:cs="Times New Roman"/>
          <w:b/>
          <w:bCs/>
          <w:sz w:val="24"/>
          <w:szCs w:val="24"/>
          <w:lang w:val="en-US"/>
        </w:rPr>
        <w:t>Resources needed:</w:t>
      </w:r>
    </w:p>
    <w:p w14:paraId="1247DCD1" w14:textId="28D21975" w:rsidR="00104E2D" w:rsidRDefault="00104E2D" w:rsidP="00104E2D">
      <w:pPr>
        <w:rPr>
          <w:rFonts w:ascii="Times New Roman" w:hAnsi="Times New Roman" w:cs="Times New Roman"/>
          <w:sz w:val="24"/>
          <w:szCs w:val="24"/>
          <w:lang w:val="en-US"/>
        </w:rPr>
      </w:pPr>
      <w:r w:rsidRPr="00205AFD">
        <w:rPr>
          <w:rFonts w:ascii="Times New Roman" w:hAnsi="Times New Roman" w:cs="Times New Roman"/>
          <w:sz w:val="24"/>
          <w:szCs w:val="24"/>
          <w:lang w:val="en-US"/>
        </w:rPr>
        <w:t xml:space="preserve">Policy changes were required to </w:t>
      </w:r>
      <w:r>
        <w:rPr>
          <w:rFonts w:ascii="Times New Roman" w:hAnsi="Times New Roman" w:cs="Times New Roman"/>
          <w:sz w:val="24"/>
          <w:szCs w:val="24"/>
          <w:lang w:val="en-US"/>
        </w:rPr>
        <w:t>introduce Fixed rates instrument</w:t>
      </w:r>
      <w:r w:rsidRPr="00205AFD">
        <w:rPr>
          <w:rFonts w:ascii="Times New Roman" w:hAnsi="Times New Roman" w:cs="Times New Roman"/>
          <w:sz w:val="24"/>
          <w:szCs w:val="24"/>
          <w:lang w:val="en-US"/>
        </w:rPr>
        <w:t xml:space="preserve"> in </w:t>
      </w:r>
      <w:bookmarkStart w:id="0" w:name="_Hlk193322265"/>
      <w:r>
        <w:rPr>
          <w:rFonts w:ascii="Times New Roman" w:hAnsi="Times New Roman" w:cs="Times New Roman"/>
          <w:sz w:val="24"/>
          <w:szCs w:val="24"/>
          <w:lang w:val="en-US"/>
        </w:rPr>
        <w:t xml:space="preserve">CAP farm investment </w:t>
      </w:r>
      <w:r w:rsidRPr="00205AFD">
        <w:rPr>
          <w:rFonts w:ascii="Times New Roman" w:hAnsi="Times New Roman" w:cs="Times New Roman"/>
          <w:sz w:val="24"/>
          <w:szCs w:val="24"/>
          <w:lang w:val="en-US"/>
        </w:rPr>
        <w:t>project</w:t>
      </w:r>
      <w:r>
        <w:rPr>
          <w:rFonts w:ascii="Times New Roman" w:hAnsi="Times New Roman" w:cs="Times New Roman"/>
          <w:sz w:val="24"/>
          <w:szCs w:val="24"/>
          <w:lang w:val="en-US"/>
        </w:rPr>
        <w:t>s</w:t>
      </w:r>
      <w:r w:rsidRPr="00205AFD">
        <w:rPr>
          <w:rFonts w:ascii="Times New Roman" w:hAnsi="Times New Roman" w:cs="Times New Roman"/>
          <w:sz w:val="24"/>
          <w:szCs w:val="24"/>
          <w:lang w:val="en-US"/>
        </w:rPr>
        <w:t xml:space="preserve"> </w:t>
      </w:r>
      <w:bookmarkEnd w:id="0"/>
      <w:r w:rsidRPr="00205AFD">
        <w:rPr>
          <w:rFonts w:ascii="Times New Roman" w:hAnsi="Times New Roman" w:cs="Times New Roman"/>
          <w:sz w:val="24"/>
          <w:szCs w:val="24"/>
          <w:lang w:val="en-US"/>
        </w:rPr>
        <w:t>evaluation</w:t>
      </w:r>
      <w:r>
        <w:rPr>
          <w:rFonts w:ascii="Times New Roman" w:hAnsi="Times New Roman" w:cs="Times New Roman"/>
          <w:sz w:val="24"/>
          <w:szCs w:val="24"/>
          <w:lang w:val="en-US"/>
        </w:rPr>
        <w:t xml:space="preserve"> process</w:t>
      </w:r>
      <w:r w:rsidRPr="00205AFD">
        <w:rPr>
          <w:rFonts w:ascii="Times New Roman" w:hAnsi="Times New Roman" w:cs="Times New Roman"/>
          <w:sz w:val="24"/>
          <w:szCs w:val="24"/>
          <w:lang w:val="en-US"/>
        </w:rPr>
        <w:t xml:space="preserve">. </w:t>
      </w:r>
      <w:r w:rsidR="001B4CC3">
        <w:rPr>
          <w:rFonts w:ascii="Times New Roman" w:hAnsi="Times New Roman" w:cs="Times New Roman"/>
          <w:sz w:val="24"/>
          <w:szCs w:val="24"/>
          <w:lang w:val="en-US"/>
        </w:rPr>
        <w:t>The calculation of fixed rate was done with the help of independent consultants through paid service.</w:t>
      </w:r>
    </w:p>
    <w:p w14:paraId="5EFC7F8D" w14:textId="77777777" w:rsidR="00FA1404" w:rsidRPr="00D53ED8" w:rsidRDefault="00FA1404" w:rsidP="00FA1404">
      <w:pPr>
        <w:rPr>
          <w:rFonts w:ascii="Times New Roman" w:hAnsi="Times New Roman" w:cs="Times New Roman"/>
          <w:b/>
          <w:bCs/>
          <w:sz w:val="24"/>
          <w:szCs w:val="24"/>
          <w:lang w:val="en-US"/>
        </w:rPr>
      </w:pPr>
      <w:r w:rsidRPr="00D53ED8">
        <w:rPr>
          <w:rFonts w:ascii="Times New Roman" w:hAnsi="Times New Roman" w:cs="Times New Roman"/>
          <w:b/>
          <w:bCs/>
          <w:sz w:val="24"/>
          <w:szCs w:val="24"/>
          <w:lang w:val="en-US"/>
        </w:rPr>
        <w:lastRenderedPageBreak/>
        <w:t>Evidence of success (results achieved):</w:t>
      </w:r>
    </w:p>
    <w:p w14:paraId="17B63FA2" w14:textId="77777777" w:rsidR="00FA1404" w:rsidRPr="00D53ED8" w:rsidRDefault="00FA1404" w:rsidP="00FA1404">
      <w:pPr>
        <w:rPr>
          <w:rFonts w:ascii="Times New Roman" w:hAnsi="Times New Roman" w:cs="Times New Roman"/>
          <w:b/>
          <w:bCs/>
          <w:sz w:val="24"/>
          <w:szCs w:val="24"/>
          <w:lang w:val="en-US"/>
        </w:rPr>
      </w:pPr>
      <w:r w:rsidRPr="00D53ED8">
        <w:rPr>
          <w:rFonts w:ascii="Times New Roman" w:hAnsi="Times New Roman" w:cs="Times New Roman"/>
          <w:b/>
          <w:bCs/>
          <w:sz w:val="24"/>
          <w:szCs w:val="24"/>
          <w:lang w:val="en-US"/>
        </w:rPr>
        <w:t>This practice has achieved significant results:</w:t>
      </w:r>
    </w:p>
    <w:p w14:paraId="08F236DB" w14:textId="77777777" w:rsidR="00204762" w:rsidRPr="00167048" w:rsidRDefault="00204762" w:rsidP="00204762">
      <w:pPr>
        <w:rPr>
          <w:rFonts w:ascii="Times New Roman" w:hAnsi="Times New Roman" w:cs="Times New Roman"/>
          <w:sz w:val="24"/>
          <w:szCs w:val="24"/>
          <w:lang w:val="en-US"/>
        </w:rPr>
      </w:pPr>
      <w:r w:rsidRPr="00167048">
        <w:rPr>
          <w:rFonts w:ascii="Times New Roman" w:hAnsi="Times New Roman" w:cs="Times New Roman"/>
          <w:sz w:val="24"/>
          <w:szCs w:val="24"/>
          <w:lang w:val="en-US"/>
        </w:rPr>
        <w:t>The practice achieved significant results. More than 1,000 solar power plants in agriculture have been installed in Lithuania, the total capacity of which exceeded 80 MW. This made it possible to reduce farmers' energy costs, and the share of renewable energy in agriculture increased to 17% (according to the data of the Ministry of the Environment of Lithuania). After implementing this practice, farmers saved more than 5 million. EUR per year for energy bills alone.</w:t>
      </w:r>
    </w:p>
    <w:p w14:paraId="4F2F1998" w14:textId="77777777" w:rsidR="00204762" w:rsidRPr="00167048" w:rsidRDefault="00204762" w:rsidP="00204762">
      <w:pPr>
        <w:rPr>
          <w:rFonts w:ascii="Times New Roman" w:hAnsi="Times New Roman" w:cs="Times New Roman"/>
          <w:sz w:val="24"/>
          <w:szCs w:val="24"/>
          <w:lang w:val="en-US"/>
        </w:rPr>
      </w:pPr>
      <w:r w:rsidRPr="00167048">
        <w:rPr>
          <w:rFonts w:ascii="Times New Roman" w:hAnsi="Times New Roman" w:cs="Times New Roman"/>
          <w:sz w:val="24"/>
          <w:szCs w:val="24"/>
          <w:lang w:val="en-US"/>
        </w:rPr>
        <w:t>In addition, these projects contributed to Lithuania's obligations to reduce CO2 emissions in accordance with the goals of the European Green Deal and the climate change strategy.</w:t>
      </w:r>
    </w:p>
    <w:p w14:paraId="40DE9FE7" w14:textId="77777777" w:rsidR="00FA1404" w:rsidRPr="00D53ED8" w:rsidRDefault="00FA1404" w:rsidP="00FA1404">
      <w:pPr>
        <w:rPr>
          <w:rFonts w:ascii="Times New Roman" w:hAnsi="Times New Roman" w:cs="Times New Roman"/>
          <w:b/>
          <w:bCs/>
          <w:sz w:val="24"/>
          <w:szCs w:val="24"/>
          <w:lang w:val="en-US"/>
        </w:rPr>
      </w:pPr>
      <w:r w:rsidRPr="00D53ED8">
        <w:rPr>
          <w:rFonts w:ascii="Times New Roman" w:hAnsi="Times New Roman" w:cs="Times New Roman"/>
          <w:b/>
          <w:bCs/>
          <w:sz w:val="24"/>
          <w:szCs w:val="24"/>
          <w:lang w:val="en-US"/>
        </w:rPr>
        <w:t>Potential for learning or transfer:</w:t>
      </w:r>
    </w:p>
    <w:p w14:paraId="37A93D01" w14:textId="1EEC74BD" w:rsidR="00FA1404" w:rsidRPr="00D53ED8" w:rsidRDefault="00FA1404" w:rsidP="00FA1404">
      <w:pPr>
        <w:rPr>
          <w:rFonts w:ascii="Times New Roman" w:hAnsi="Times New Roman" w:cs="Times New Roman"/>
          <w:sz w:val="24"/>
          <w:szCs w:val="24"/>
          <w:lang w:val="en-US"/>
        </w:rPr>
      </w:pPr>
      <w:r w:rsidRPr="00D53ED8">
        <w:rPr>
          <w:rFonts w:ascii="Times New Roman" w:hAnsi="Times New Roman" w:cs="Times New Roman"/>
          <w:sz w:val="24"/>
          <w:szCs w:val="24"/>
          <w:lang w:val="en-US"/>
        </w:rPr>
        <w:t xml:space="preserve">This practice can be useful for other EU countries that seek to promote renewable energy sources in agriculture. Lithuania has successfully shared this experience with Latvia and Estonia, which have started to apply similar financing mechanisms and </w:t>
      </w:r>
      <w:r w:rsidR="0052375E">
        <w:rPr>
          <w:rFonts w:ascii="Times New Roman" w:hAnsi="Times New Roman" w:cs="Times New Roman"/>
          <w:sz w:val="24"/>
          <w:szCs w:val="24"/>
          <w:lang w:val="en-US"/>
        </w:rPr>
        <w:t>fixed</w:t>
      </w:r>
      <w:r w:rsidR="0052375E" w:rsidRPr="00D53ED8">
        <w:rPr>
          <w:rFonts w:ascii="Times New Roman" w:hAnsi="Times New Roman" w:cs="Times New Roman"/>
          <w:sz w:val="24"/>
          <w:szCs w:val="24"/>
          <w:lang w:val="en-US"/>
        </w:rPr>
        <w:t xml:space="preserve"> </w:t>
      </w:r>
      <w:r w:rsidRPr="00D53ED8">
        <w:rPr>
          <w:rFonts w:ascii="Times New Roman" w:hAnsi="Times New Roman" w:cs="Times New Roman"/>
          <w:sz w:val="24"/>
          <w:szCs w:val="24"/>
          <w:lang w:val="en-US"/>
        </w:rPr>
        <w:t>rates, adapting to their local markets and climate conditions. The most successful aspects are clear funding parameters, strong cooperation with consultants and technical support for farmers, as well as flexibility to adapt to market changes.</w:t>
      </w:r>
    </w:p>
    <w:p w14:paraId="72963244" w14:textId="77777777" w:rsidR="00FA1404" w:rsidRPr="00D53ED8" w:rsidRDefault="00FA1404" w:rsidP="00FA1404">
      <w:pPr>
        <w:rPr>
          <w:rFonts w:ascii="Times New Roman" w:hAnsi="Times New Roman" w:cs="Times New Roman"/>
          <w:b/>
          <w:bCs/>
          <w:sz w:val="24"/>
          <w:szCs w:val="24"/>
          <w:lang w:val="en-US"/>
        </w:rPr>
      </w:pPr>
      <w:r w:rsidRPr="00D53ED8">
        <w:rPr>
          <w:rFonts w:ascii="Times New Roman" w:hAnsi="Times New Roman" w:cs="Times New Roman"/>
          <w:b/>
          <w:bCs/>
          <w:sz w:val="24"/>
          <w:szCs w:val="24"/>
          <w:lang w:val="en-US"/>
        </w:rPr>
        <w:t>Key success factors:</w:t>
      </w:r>
    </w:p>
    <w:p w14:paraId="071351EB" w14:textId="2EE66102" w:rsidR="00FA1404" w:rsidRPr="00D53ED8" w:rsidRDefault="00FA1404" w:rsidP="00FA1404">
      <w:pPr>
        <w:rPr>
          <w:rFonts w:ascii="Times New Roman" w:hAnsi="Times New Roman" w:cs="Times New Roman"/>
          <w:sz w:val="24"/>
          <w:szCs w:val="24"/>
          <w:lang w:val="en-US"/>
        </w:rPr>
      </w:pPr>
      <w:r w:rsidRPr="00D53ED8">
        <w:rPr>
          <w:rFonts w:ascii="Times New Roman" w:hAnsi="Times New Roman" w:cs="Times New Roman"/>
          <w:sz w:val="24"/>
          <w:szCs w:val="24"/>
          <w:lang w:val="en-US"/>
        </w:rPr>
        <w:t xml:space="preserve">• </w:t>
      </w:r>
      <w:r w:rsidR="00D82330">
        <w:rPr>
          <w:rFonts w:ascii="Times New Roman" w:hAnsi="Times New Roman" w:cs="Times New Roman"/>
          <w:sz w:val="24"/>
          <w:szCs w:val="24"/>
          <w:lang w:val="en-US"/>
        </w:rPr>
        <w:t>Fixed</w:t>
      </w:r>
      <w:r w:rsidR="00D82330" w:rsidRPr="00D53ED8">
        <w:rPr>
          <w:rFonts w:ascii="Times New Roman" w:hAnsi="Times New Roman" w:cs="Times New Roman"/>
          <w:sz w:val="24"/>
          <w:szCs w:val="24"/>
          <w:lang w:val="en-US"/>
        </w:rPr>
        <w:t xml:space="preserve"> </w:t>
      </w:r>
      <w:r w:rsidR="004A2321" w:rsidRPr="00D53ED8">
        <w:rPr>
          <w:rFonts w:ascii="Times New Roman" w:hAnsi="Times New Roman" w:cs="Times New Roman"/>
          <w:sz w:val="24"/>
          <w:szCs w:val="24"/>
          <w:lang w:val="en-US"/>
        </w:rPr>
        <w:t>rates</w:t>
      </w:r>
      <w:r w:rsidRPr="00D53ED8">
        <w:rPr>
          <w:rFonts w:ascii="Times New Roman" w:hAnsi="Times New Roman" w:cs="Times New Roman"/>
          <w:sz w:val="24"/>
          <w:szCs w:val="24"/>
          <w:lang w:val="en-US"/>
        </w:rPr>
        <w:t xml:space="preserve"> ​​ </w:t>
      </w:r>
      <w:r w:rsidR="00D82330">
        <w:rPr>
          <w:rFonts w:ascii="Times New Roman" w:hAnsi="Times New Roman" w:cs="Times New Roman"/>
          <w:sz w:val="24"/>
          <w:szCs w:val="24"/>
          <w:lang w:val="en-US"/>
        </w:rPr>
        <w:t>fasten</w:t>
      </w:r>
      <w:r w:rsidR="00D82330" w:rsidRPr="00D53ED8">
        <w:rPr>
          <w:rFonts w:ascii="Times New Roman" w:hAnsi="Times New Roman" w:cs="Times New Roman"/>
          <w:sz w:val="24"/>
          <w:szCs w:val="24"/>
          <w:lang w:val="en-US"/>
        </w:rPr>
        <w:t xml:space="preserve"> </w:t>
      </w:r>
      <w:r w:rsidRPr="00D53ED8">
        <w:rPr>
          <w:rFonts w:ascii="Times New Roman" w:hAnsi="Times New Roman" w:cs="Times New Roman"/>
          <w:sz w:val="24"/>
          <w:szCs w:val="24"/>
          <w:lang w:val="en-US"/>
        </w:rPr>
        <w:t>the evaluation process for both farmers and institutions.</w:t>
      </w:r>
    </w:p>
    <w:p w14:paraId="19F0E6E5" w14:textId="77777777" w:rsidR="00D82330" w:rsidRDefault="00FA1404" w:rsidP="00FA1404">
      <w:pPr>
        <w:rPr>
          <w:rFonts w:ascii="Times New Roman" w:hAnsi="Times New Roman" w:cs="Times New Roman"/>
          <w:sz w:val="24"/>
          <w:szCs w:val="24"/>
          <w:lang w:val="en-US"/>
        </w:rPr>
      </w:pPr>
      <w:r w:rsidRPr="00D53ED8">
        <w:rPr>
          <w:rFonts w:ascii="Times New Roman" w:hAnsi="Times New Roman" w:cs="Times New Roman"/>
          <w:sz w:val="24"/>
          <w:szCs w:val="24"/>
          <w:lang w:val="en-US"/>
        </w:rPr>
        <w:t xml:space="preserve">• </w:t>
      </w:r>
      <w:r w:rsidR="00D82330">
        <w:rPr>
          <w:rFonts w:ascii="Times New Roman" w:hAnsi="Times New Roman" w:cs="Times New Roman"/>
          <w:sz w:val="24"/>
          <w:szCs w:val="24"/>
          <w:lang w:val="en-US"/>
        </w:rPr>
        <w:t xml:space="preserve">Significant reduction of administrative burden </w:t>
      </w:r>
    </w:p>
    <w:p w14:paraId="0B3A578D" w14:textId="57244BE3" w:rsidR="00FA1404" w:rsidRPr="00D53ED8" w:rsidRDefault="00D82330" w:rsidP="00FA1404">
      <w:pPr>
        <w:rPr>
          <w:rFonts w:ascii="Times New Roman" w:hAnsi="Times New Roman" w:cs="Times New Roman"/>
          <w:sz w:val="24"/>
          <w:szCs w:val="24"/>
          <w:lang w:val="en-US"/>
        </w:rPr>
      </w:pPr>
      <w:r w:rsidRPr="00D53ED8">
        <w:rPr>
          <w:rFonts w:ascii="Times New Roman" w:hAnsi="Times New Roman" w:cs="Times New Roman"/>
          <w:sz w:val="24"/>
          <w:szCs w:val="24"/>
          <w:lang w:val="en-US"/>
        </w:rPr>
        <w:t xml:space="preserve">• </w:t>
      </w:r>
      <w:r w:rsidR="00FA1404" w:rsidRPr="00D53ED8">
        <w:rPr>
          <w:rFonts w:ascii="Times New Roman" w:hAnsi="Times New Roman" w:cs="Times New Roman"/>
          <w:sz w:val="24"/>
          <w:szCs w:val="24"/>
          <w:lang w:val="en-US"/>
        </w:rPr>
        <w:t xml:space="preserve">Clear </w:t>
      </w:r>
      <w:r w:rsidR="00EF5F09">
        <w:rPr>
          <w:rFonts w:ascii="Times New Roman" w:hAnsi="Times New Roman" w:cs="Times New Roman"/>
          <w:sz w:val="24"/>
          <w:szCs w:val="24"/>
          <w:lang w:val="en-US"/>
        </w:rPr>
        <w:t xml:space="preserve">and beneficial </w:t>
      </w:r>
      <w:r w:rsidR="00FA1404" w:rsidRPr="00D53ED8">
        <w:rPr>
          <w:rFonts w:ascii="Times New Roman" w:hAnsi="Times New Roman" w:cs="Times New Roman"/>
          <w:sz w:val="24"/>
          <w:szCs w:val="24"/>
          <w:lang w:val="en-US"/>
        </w:rPr>
        <w:t>financing conditions.</w:t>
      </w:r>
    </w:p>
    <w:p w14:paraId="2A624F0D" w14:textId="187F65CA" w:rsidR="00FA1404" w:rsidRPr="00FA1404" w:rsidRDefault="00FA1404" w:rsidP="00FA1404">
      <w:pPr>
        <w:rPr>
          <w:rFonts w:ascii="Times New Roman" w:hAnsi="Times New Roman" w:cs="Times New Roman"/>
          <w:lang w:val="en-US"/>
        </w:rPr>
      </w:pPr>
    </w:p>
    <w:p w14:paraId="6A70B578" w14:textId="561311E7" w:rsidR="00FA1404" w:rsidRPr="00FA1404" w:rsidRDefault="00FA1404" w:rsidP="00FA1404">
      <w:pPr>
        <w:rPr>
          <w:rFonts w:ascii="Times New Roman" w:hAnsi="Times New Roman" w:cs="Times New Roman"/>
          <w:b/>
          <w:bCs/>
          <w:lang w:val="en-US"/>
        </w:rPr>
      </w:pPr>
      <w:r w:rsidRPr="00FA1404">
        <w:rPr>
          <w:rFonts w:ascii="Times New Roman" w:hAnsi="Times New Roman" w:cs="Times New Roman"/>
          <w:b/>
          <w:bCs/>
          <w:lang w:val="en-US"/>
        </w:rPr>
        <w:t xml:space="preserve">Links: </w:t>
      </w:r>
    </w:p>
    <w:p w14:paraId="59CF9CCC" w14:textId="77777777" w:rsidR="009632D9" w:rsidRDefault="009632D9" w:rsidP="009632D9">
      <w:pPr>
        <w:numPr>
          <w:ilvl w:val="0"/>
          <w:numId w:val="1"/>
        </w:numPr>
        <w:spacing w:before="100" w:beforeAutospacing="1" w:after="100" w:afterAutospacing="1" w:line="240" w:lineRule="auto"/>
      </w:pPr>
      <w:r>
        <w:rPr>
          <w:rStyle w:val="Strong"/>
        </w:rPr>
        <w:t>Lietuvos žemės ūkio ministerija</w:t>
      </w:r>
      <w:r>
        <w:t xml:space="preserve">: </w:t>
      </w:r>
      <w:hyperlink r:id="rId5" w:tgtFrame="_new" w:history="1">
        <w:r>
          <w:rPr>
            <w:rStyle w:val="Hyperlink"/>
          </w:rPr>
          <w:t>www.zum.lt</w:t>
        </w:r>
      </w:hyperlink>
    </w:p>
    <w:p w14:paraId="0CBF31BA" w14:textId="77777777" w:rsidR="009632D9" w:rsidRDefault="009632D9" w:rsidP="009632D9">
      <w:pPr>
        <w:numPr>
          <w:ilvl w:val="0"/>
          <w:numId w:val="1"/>
        </w:numPr>
        <w:spacing w:before="100" w:beforeAutospacing="1" w:after="100" w:afterAutospacing="1" w:line="240" w:lineRule="auto"/>
      </w:pPr>
      <w:r>
        <w:rPr>
          <w:rStyle w:val="Strong"/>
        </w:rPr>
        <w:t>Kaimo plėtros programa 2014–2020 ir 2021–2027</w:t>
      </w:r>
      <w:r>
        <w:t xml:space="preserve">: </w:t>
      </w:r>
      <w:hyperlink r:id="rId6" w:tgtFrame="_new" w:history="1">
        <w:r>
          <w:rPr>
            <w:rStyle w:val="Hyperlink"/>
          </w:rPr>
          <w:t>www.nma.lt</w:t>
        </w:r>
      </w:hyperlink>
    </w:p>
    <w:p w14:paraId="1DE36A77" w14:textId="77777777" w:rsidR="009632D9" w:rsidRDefault="009632D9" w:rsidP="009632D9">
      <w:pPr>
        <w:numPr>
          <w:ilvl w:val="0"/>
          <w:numId w:val="1"/>
        </w:numPr>
        <w:spacing w:before="100" w:beforeAutospacing="1" w:after="100" w:afterAutospacing="1" w:line="240" w:lineRule="auto"/>
      </w:pPr>
      <w:r>
        <w:rPr>
          <w:rStyle w:val="Strong"/>
        </w:rPr>
        <w:t>Europos Komisija – Kaimo plėtros fondo dokumentai</w:t>
      </w:r>
      <w:r>
        <w:t xml:space="preserve">: </w:t>
      </w:r>
      <w:hyperlink r:id="rId7" w:tgtFrame="_new" w:history="1">
        <w:r>
          <w:rPr>
            <w:rStyle w:val="Hyperlink"/>
          </w:rPr>
          <w:t>ec.europa.eu</w:t>
        </w:r>
      </w:hyperlink>
    </w:p>
    <w:p w14:paraId="38780C0E" w14:textId="77777777" w:rsidR="009632D9" w:rsidRDefault="009632D9" w:rsidP="009632D9">
      <w:pPr>
        <w:numPr>
          <w:ilvl w:val="0"/>
          <w:numId w:val="1"/>
        </w:numPr>
        <w:spacing w:before="100" w:beforeAutospacing="1" w:after="100" w:afterAutospacing="1" w:line="240" w:lineRule="auto"/>
      </w:pPr>
      <w:r>
        <w:rPr>
          <w:rStyle w:val="Strong"/>
        </w:rPr>
        <w:t>Lietuvos aplinkos ministerija</w:t>
      </w:r>
      <w:r>
        <w:t xml:space="preserve"> – Metinės ataskaitos apie CO2 emisijas ir klimato kaitos strategijas: </w:t>
      </w:r>
      <w:hyperlink r:id="rId8" w:tgtFrame="_new" w:history="1">
        <w:proofErr w:type="spellStart"/>
        <w:r>
          <w:rPr>
            <w:rStyle w:val="Hyperlink"/>
          </w:rPr>
          <w:t>am.lt</w:t>
        </w:r>
        <w:proofErr w:type="spellEnd"/>
      </w:hyperlink>
    </w:p>
    <w:p w14:paraId="34A2AF8C" w14:textId="77777777" w:rsidR="00FA1404" w:rsidRDefault="00FA1404" w:rsidP="00FA1404"/>
    <w:sectPr w:rsidR="00FA140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A0AEC"/>
    <w:multiLevelType w:val="multilevel"/>
    <w:tmpl w:val="41B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04"/>
    <w:rsid w:val="00104E2D"/>
    <w:rsid w:val="001B4CC3"/>
    <w:rsid w:val="00204762"/>
    <w:rsid w:val="00437440"/>
    <w:rsid w:val="00445738"/>
    <w:rsid w:val="004A2321"/>
    <w:rsid w:val="0052375E"/>
    <w:rsid w:val="006371E4"/>
    <w:rsid w:val="00827E3B"/>
    <w:rsid w:val="00896196"/>
    <w:rsid w:val="008B2717"/>
    <w:rsid w:val="009632D9"/>
    <w:rsid w:val="009944FE"/>
    <w:rsid w:val="009E4605"/>
    <w:rsid w:val="00A17F4B"/>
    <w:rsid w:val="00A322D9"/>
    <w:rsid w:val="00A36C4D"/>
    <w:rsid w:val="00AC4FAB"/>
    <w:rsid w:val="00C82FE1"/>
    <w:rsid w:val="00C85C0B"/>
    <w:rsid w:val="00D53ED8"/>
    <w:rsid w:val="00D82330"/>
    <w:rsid w:val="00DB543A"/>
    <w:rsid w:val="00DE5B4F"/>
    <w:rsid w:val="00DE7D56"/>
    <w:rsid w:val="00EA14FB"/>
    <w:rsid w:val="00EF4D01"/>
    <w:rsid w:val="00EF5F09"/>
    <w:rsid w:val="00F71AD7"/>
    <w:rsid w:val="00FA1404"/>
    <w:rsid w:val="00FA5C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F8A0"/>
  <w15:chartTrackingRefBased/>
  <w15:docId w15:val="{C297E727-6B5B-46A5-871B-4FE01B6A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32D9"/>
    <w:rPr>
      <w:b/>
      <w:bCs/>
    </w:rPr>
  </w:style>
  <w:style w:type="character" w:styleId="Hyperlink">
    <w:name w:val="Hyperlink"/>
    <w:basedOn w:val="DefaultParagraphFont"/>
    <w:uiPriority w:val="99"/>
    <w:semiHidden/>
    <w:unhideWhenUsed/>
    <w:rsid w:val="009632D9"/>
    <w:rPr>
      <w:color w:val="0000FF"/>
      <w:u w:val="single"/>
    </w:rPr>
  </w:style>
  <w:style w:type="paragraph" w:styleId="BalloonText">
    <w:name w:val="Balloon Text"/>
    <w:basedOn w:val="Normal"/>
    <w:link w:val="BalloonTextChar"/>
    <w:uiPriority w:val="99"/>
    <w:semiHidden/>
    <w:unhideWhenUsed/>
    <w:rsid w:val="00DB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lt" TargetMode="External"/><Relationship Id="rId3" Type="http://schemas.openxmlformats.org/officeDocument/2006/relationships/settings" Target="settings.xml"/><Relationship Id="rId7" Type="http://schemas.openxmlformats.org/officeDocument/2006/relationships/hyperlink" Target="https://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ma.lt" TargetMode="External"/><Relationship Id="rId5" Type="http://schemas.openxmlformats.org/officeDocument/2006/relationships/hyperlink" Target="https://www.zum.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1096</TotalTime>
  <Pages>2</Pages>
  <Words>3085</Words>
  <Characters>1759</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Nacionaline mokejimo agentura prie ZUM</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Pravdzinskas</dc:creator>
  <cp:keywords/>
  <dc:description/>
  <cp:lastModifiedBy>Audrius Pravdzinskas</cp:lastModifiedBy>
  <cp:revision>30</cp:revision>
  <dcterms:created xsi:type="dcterms:W3CDTF">2025-03-17T06:37:00Z</dcterms:created>
  <dcterms:modified xsi:type="dcterms:W3CDTF">2025-03-21T15:37:00Z</dcterms:modified>
</cp:coreProperties>
</file>