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A1C6A" w14:textId="0E02F73C" w:rsidR="002B6508" w:rsidRPr="00995401" w:rsidRDefault="00EF62D8" w:rsidP="002B6508">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Additional </w:t>
      </w:r>
      <w:r w:rsidR="002B6508" w:rsidRPr="00995401">
        <w:rPr>
          <w:rFonts w:ascii="Times New Roman" w:hAnsi="Times New Roman" w:cs="Times New Roman"/>
          <w:b/>
          <w:bCs/>
          <w:sz w:val="28"/>
          <w:szCs w:val="28"/>
          <w:lang w:val="en-US"/>
        </w:rPr>
        <w:t xml:space="preserve">Priority scores for </w:t>
      </w:r>
      <w:r>
        <w:rPr>
          <w:rFonts w:ascii="Times New Roman" w:hAnsi="Times New Roman" w:cs="Times New Roman"/>
          <w:b/>
          <w:bCs/>
          <w:sz w:val="28"/>
          <w:szCs w:val="28"/>
          <w:lang w:val="en-US"/>
        </w:rPr>
        <w:t xml:space="preserve">CAP farm investment projects </w:t>
      </w:r>
      <w:r w:rsidR="002B6508" w:rsidRPr="00995401">
        <w:rPr>
          <w:rFonts w:ascii="Times New Roman" w:hAnsi="Times New Roman" w:cs="Times New Roman"/>
          <w:b/>
          <w:bCs/>
          <w:sz w:val="28"/>
          <w:szCs w:val="28"/>
          <w:lang w:val="en-US"/>
        </w:rPr>
        <w:t>that foresee investments in solar power plants</w:t>
      </w:r>
    </w:p>
    <w:p w14:paraId="76B0E712" w14:textId="77777777"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Short summary of the practice:</w:t>
      </w:r>
    </w:p>
    <w:p w14:paraId="26D99C1D" w14:textId="23F8C84B" w:rsidR="009F367F" w:rsidRPr="00167048" w:rsidRDefault="002B6508" w:rsidP="002B6508">
      <w:pPr>
        <w:rPr>
          <w:rFonts w:ascii="Times New Roman" w:hAnsi="Times New Roman" w:cs="Times New Roman"/>
          <w:sz w:val="24"/>
          <w:szCs w:val="24"/>
          <w:lang w:val="en-US"/>
        </w:rPr>
      </w:pPr>
      <w:r w:rsidRPr="00167048">
        <w:rPr>
          <w:rFonts w:ascii="Times New Roman" w:hAnsi="Times New Roman" w:cs="Times New Roman"/>
          <w:sz w:val="24"/>
          <w:szCs w:val="24"/>
          <w:lang w:val="en-US"/>
        </w:rPr>
        <w:t xml:space="preserve">In Lithuania, according to the </w:t>
      </w:r>
      <w:r w:rsidR="009F367F" w:rsidRPr="0044375F">
        <w:rPr>
          <w:rFonts w:ascii="Times New Roman" w:hAnsi="Times New Roman" w:cs="Times New Roman"/>
          <w:sz w:val="24"/>
          <w:szCs w:val="24"/>
          <w:lang w:val="en-US"/>
        </w:rPr>
        <w:t>Lithuanian 2023-2027 Agriculture Strategic plan</w:t>
      </w:r>
      <w:r w:rsidRPr="00167048">
        <w:rPr>
          <w:rFonts w:ascii="Times New Roman" w:hAnsi="Times New Roman" w:cs="Times New Roman"/>
          <w:sz w:val="24"/>
          <w:szCs w:val="24"/>
          <w:lang w:val="en-US"/>
        </w:rPr>
        <w:t xml:space="preserve">, priority points are given to </w:t>
      </w:r>
      <w:r w:rsidR="008A522A" w:rsidRPr="008A522A">
        <w:rPr>
          <w:rFonts w:ascii="Times New Roman" w:hAnsi="Times New Roman" w:cs="Times New Roman"/>
          <w:sz w:val="24"/>
          <w:szCs w:val="24"/>
          <w:lang w:val="en-US"/>
        </w:rPr>
        <w:t>CAP farm investment projects</w:t>
      </w:r>
      <w:r w:rsidR="008A522A">
        <w:rPr>
          <w:rFonts w:ascii="Times New Roman" w:hAnsi="Times New Roman" w:cs="Times New Roman"/>
          <w:b/>
          <w:bCs/>
          <w:sz w:val="28"/>
          <w:szCs w:val="28"/>
          <w:lang w:val="en-US"/>
        </w:rPr>
        <w:t xml:space="preserve"> </w:t>
      </w:r>
      <w:r w:rsidRPr="00167048">
        <w:rPr>
          <w:rFonts w:ascii="Times New Roman" w:hAnsi="Times New Roman" w:cs="Times New Roman"/>
          <w:sz w:val="24"/>
          <w:szCs w:val="24"/>
          <w:lang w:val="en-US"/>
        </w:rPr>
        <w:t xml:space="preserve">investing in solar power plants, promoting sustainable energy </w:t>
      </w:r>
      <w:proofErr w:type="gramStart"/>
      <w:r w:rsidRPr="00167048">
        <w:rPr>
          <w:rFonts w:ascii="Times New Roman" w:hAnsi="Times New Roman" w:cs="Times New Roman"/>
          <w:sz w:val="24"/>
          <w:szCs w:val="24"/>
          <w:lang w:val="en-US"/>
        </w:rPr>
        <w:t>use</w:t>
      </w:r>
      <w:proofErr w:type="gramEnd"/>
      <w:r w:rsidRPr="00167048">
        <w:rPr>
          <w:rFonts w:ascii="Times New Roman" w:hAnsi="Times New Roman" w:cs="Times New Roman"/>
          <w:sz w:val="24"/>
          <w:szCs w:val="24"/>
          <w:lang w:val="en-US"/>
        </w:rPr>
        <w:t xml:space="preserve"> and reducing dependence on traditional energy sources.</w:t>
      </w:r>
    </w:p>
    <w:p w14:paraId="66FEA7AF" w14:textId="77777777"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Detailed information on the practice:</w:t>
      </w:r>
    </w:p>
    <w:p w14:paraId="5273D9D6" w14:textId="3FBEA25B" w:rsidR="002B6508" w:rsidRPr="00167048" w:rsidRDefault="002B6508" w:rsidP="002B6508">
      <w:pPr>
        <w:rPr>
          <w:rFonts w:ascii="Times New Roman" w:hAnsi="Times New Roman" w:cs="Times New Roman"/>
          <w:sz w:val="24"/>
          <w:szCs w:val="24"/>
          <w:lang w:val="en-US"/>
        </w:rPr>
      </w:pPr>
      <w:r w:rsidRPr="00167048">
        <w:rPr>
          <w:rFonts w:ascii="Times New Roman" w:hAnsi="Times New Roman" w:cs="Times New Roman"/>
          <w:b/>
          <w:bCs/>
          <w:sz w:val="24"/>
          <w:szCs w:val="24"/>
          <w:lang w:val="en-US"/>
        </w:rPr>
        <w:t>Problem and context:</w:t>
      </w:r>
      <w:r w:rsidRPr="00167048">
        <w:rPr>
          <w:rFonts w:ascii="Times New Roman" w:hAnsi="Times New Roman" w:cs="Times New Roman"/>
          <w:sz w:val="24"/>
          <w:szCs w:val="24"/>
          <w:lang w:val="en-US"/>
        </w:rPr>
        <w:t xml:space="preserve"> The Lithuanian agricultural sector faces challenges related to rising energy prices and the effects of climate change. Traditional energy sources in rural areas are not only expensive</w:t>
      </w:r>
      <w:r w:rsidR="00890436">
        <w:rPr>
          <w:rFonts w:ascii="Times New Roman" w:hAnsi="Times New Roman" w:cs="Times New Roman"/>
          <w:sz w:val="24"/>
          <w:szCs w:val="24"/>
          <w:lang w:val="en-US"/>
        </w:rPr>
        <w:t>,</w:t>
      </w:r>
      <w:r w:rsidRPr="00167048">
        <w:rPr>
          <w:rFonts w:ascii="Times New Roman" w:hAnsi="Times New Roman" w:cs="Times New Roman"/>
          <w:sz w:val="24"/>
          <w:szCs w:val="24"/>
          <w:lang w:val="en-US"/>
        </w:rPr>
        <w:t xml:space="preserve"> but also reduce sustainability. </w:t>
      </w:r>
      <w:r w:rsidR="00890436">
        <w:rPr>
          <w:rFonts w:ascii="Times New Roman" w:hAnsi="Times New Roman" w:cs="Times New Roman"/>
          <w:sz w:val="24"/>
          <w:szCs w:val="24"/>
          <w:lang w:val="en-US"/>
        </w:rPr>
        <w:t>T</w:t>
      </w:r>
      <w:r w:rsidRPr="00167048">
        <w:rPr>
          <w:rFonts w:ascii="Times New Roman" w:hAnsi="Times New Roman" w:cs="Times New Roman"/>
          <w:sz w:val="24"/>
          <w:szCs w:val="24"/>
          <w:lang w:val="en-US"/>
        </w:rPr>
        <w:t>o reduce energy costs and promote organic farming, a practice has been introduced whereby farmers who invest in solar power plants</w:t>
      </w:r>
      <w:r w:rsidR="002D7904">
        <w:rPr>
          <w:rFonts w:ascii="Times New Roman" w:hAnsi="Times New Roman" w:cs="Times New Roman"/>
          <w:sz w:val="24"/>
          <w:szCs w:val="24"/>
          <w:lang w:val="en-US"/>
        </w:rPr>
        <w:t xml:space="preserve"> under their CAP farm investment projects</w:t>
      </w:r>
      <w:r w:rsidRPr="00167048">
        <w:rPr>
          <w:rFonts w:ascii="Times New Roman" w:hAnsi="Times New Roman" w:cs="Times New Roman"/>
          <w:sz w:val="24"/>
          <w:szCs w:val="24"/>
          <w:lang w:val="en-US"/>
        </w:rPr>
        <w:t xml:space="preserve"> are given priority points. This practice not only encourages the introduction of renewable energy sources, but also contributes to the sustainable development of agriculture in Lithuania.</w:t>
      </w:r>
    </w:p>
    <w:p w14:paraId="1EE5123F" w14:textId="5F3F3FBF" w:rsidR="00B121AE" w:rsidRPr="00167048" w:rsidRDefault="002B6508" w:rsidP="00B121AE">
      <w:pPr>
        <w:rPr>
          <w:rFonts w:ascii="Times New Roman" w:hAnsi="Times New Roman" w:cs="Times New Roman"/>
          <w:sz w:val="24"/>
          <w:szCs w:val="24"/>
          <w:lang w:val="en-US"/>
        </w:rPr>
      </w:pPr>
      <w:r w:rsidRPr="00167048">
        <w:rPr>
          <w:rFonts w:ascii="Times New Roman" w:hAnsi="Times New Roman" w:cs="Times New Roman"/>
          <w:b/>
          <w:bCs/>
          <w:sz w:val="24"/>
          <w:szCs w:val="24"/>
          <w:lang w:val="en-US"/>
        </w:rPr>
        <w:t>Achievement and implementation of goals:</w:t>
      </w:r>
      <w:r w:rsidRPr="00167048">
        <w:rPr>
          <w:rFonts w:ascii="Times New Roman" w:hAnsi="Times New Roman" w:cs="Times New Roman"/>
          <w:sz w:val="24"/>
          <w:szCs w:val="24"/>
          <w:lang w:val="en-US"/>
        </w:rPr>
        <w:t xml:space="preserve"> Practice is implemented </w:t>
      </w:r>
      <w:r w:rsidR="0044375F">
        <w:rPr>
          <w:rFonts w:ascii="Times New Roman" w:hAnsi="Times New Roman" w:cs="Times New Roman"/>
          <w:sz w:val="24"/>
          <w:szCs w:val="24"/>
          <w:lang w:val="en-US"/>
        </w:rPr>
        <w:t xml:space="preserve">under </w:t>
      </w:r>
      <w:r w:rsidR="0044375F" w:rsidRPr="0044375F">
        <w:rPr>
          <w:rFonts w:ascii="Times New Roman" w:hAnsi="Times New Roman" w:cs="Times New Roman"/>
          <w:sz w:val="24"/>
          <w:szCs w:val="24"/>
          <w:lang w:val="en-US"/>
        </w:rPr>
        <w:t>Lithuanian 2023-2027 Agriculture Strategic plan</w:t>
      </w:r>
      <w:r w:rsidR="00B121AE">
        <w:rPr>
          <w:rFonts w:ascii="Times New Roman" w:hAnsi="Times New Roman" w:cs="Times New Roman"/>
          <w:sz w:val="24"/>
          <w:szCs w:val="24"/>
          <w:lang w:val="en-US"/>
        </w:rPr>
        <w:t xml:space="preserve"> to fulfill </w:t>
      </w:r>
      <w:r w:rsidR="00B121AE" w:rsidRPr="00167048">
        <w:rPr>
          <w:rFonts w:ascii="Times New Roman" w:hAnsi="Times New Roman" w:cs="Times New Roman"/>
          <w:sz w:val="24"/>
          <w:szCs w:val="24"/>
          <w:lang w:val="en-US"/>
        </w:rPr>
        <w:t>Lithuania's obligations under the European Green Course and the European Union's Climate Strategy. In addition, it contributes to climate change mitigation goals and the renewal of the agricultural sector.</w:t>
      </w:r>
    </w:p>
    <w:p w14:paraId="520AB415" w14:textId="256A0CA9" w:rsidR="002B6508" w:rsidRPr="00167048" w:rsidRDefault="002B6508" w:rsidP="002B6508">
      <w:pPr>
        <w:rPr>
          <w:rFonts w:ascii="Times New Roman" w:hAnsi="Times New Roman" w:cs="Times New Roman"/>
          <w:sz w:val="24"/>
          <w:szCs w:val="24"/>
          <w:lang w:val="en-US"/>
        </w:rPr>
      </w:pPr>
    </w:p>
    <w:p w14:paraId="7FAB6DE1" w14:textId="3CA5AF50" w:rsidR="002B6508" w:rsidRPr="00167048" w:rsidRDefault="002B6508" w:rsidP="002B6508">
      <w:pPr>
        <w:rPr>
          <w:rFonts w:ascii="Times New Roman" w:hAnsi="Times New Roman" w:cs="Times New Roman"/>
          <w:sz w:val="24"/>
          <w:szCs w:val="24"/>
          <w:lang w:val="en-US"/>
        </w:rPr>
      </w:pPr>
    </w:p>
    <w:p w14:paraId="6EA35249" w14:textId="3B4364CF" w:rsidR="002B6508" w:rsidRPr="00167048" w:rsidRDefault="002B6508" w:rsidP="002B6508">
      <w:pPr>
        <w:rPr>
          <w:rFonts w:ascii="Times New Roman" w:hAnsi="Times New Roman" w:cs="Times New Roman"/>
          <w:sz w:val="24"/>
          <w:szCs w:val="24"/>
          <w:lang w:val="en-US"/>
        </w:rPr>
      </w:pPr>
      <w:r w:rsidRPr="00167048">
        <w:rPr>
          <w:rFonts w:ascii="Times New Roman" w:hAnsi="Times New Roman" w:cs="Times New Roman"/>
          <w:b/>
          <w:bCs/>
          <w:sz w:val="24"/>
          <w:szCs w:val="24"/>
          <w:lang w:val="en-US"/>
        </w:rPr>
        <w:t>Important participants and users:</w:t>
      </w:r>
      <w:r w:rsidRPr="00167048">
        <w:rPr>
          <w:rFonts w:ascii="Times New Roman" w:hAnsi="Times New Roman" w:cs="Times New Roman"/>
          <w:sz w:val="24"/>
          <w:szCs w:val="24"/>
          <w:lang w:val="en-US"/>
        </w:rPr>
        <w:t xml:space="preserve"> The main participants were the Ministry of Agriculture of Lithuania, </w:t>
      </w:r>
      <w:r w:rsidR="00336C61">
        <w:rPr>
          <w:rFonts w:ascii="Times New Roman" w:hAnsi="Times New Roman" w:cs="Times New Roman"/>
          <w:sz w:val="24"/>
          <w:szCs w:val="24"/>
          <w:lang w:val="en-US"/>
        </w:rPr>
        <w:t xml:space="preserve">National (CAP) Paying Agency, </w:t>
      </w:r>
      <w:r w:rsidR="00F957CF">
        <w:rPr>
          <w:rFonts w:ascii="Times New Roman" w:hAnsi="Times New Roman" w:cs="Times New Roman"/>
          <w:sz w:val="24"/>
          <w:szCs w:val="24"/>
          <w:lang w:val="en-US"/>
        </w:rPr>
        <w:t xml:space="preserve">independent </w:t>
      </w:r>
      <w:proofErr w:type="gramStart"/>
      <w:r w:rsidRPr="00167048">
        <w:rPr>
          <w:rFonts w:ascii="Times New Roman" w:hAnsi="Times New Roman" w:cs="Times New Roman"/>
          <w:sz w:val="24"/>
          <w:szCs w:val="24"/>
          <w:lang w:val="en-US"/>
        </w:rPr>
        <w:t>consultants</w:t>
      </w:r>
      <w:proofErr w:type="gramEnd"/>
      <w:r w:rsidRPr="00167048">
        <w:rPr>
          <w:rFonts w:ascii="Times New Roman" w:hAnsi="Times New Roman" w:cs="Times New Roman"/>
          <w:sz w:val="24"/>
          <w:szCs w:val="24"/>
          <w:lang w:val="en-US"/>
        </w:rPr>
        <w:t xml:space="preserve"> and the community of farmers themselves. These entities provided both financial support and practical assistance needed for the implementation of solar power projects. The beneficiaries were farmers, who were helped by this practice to reduce energy costs and contribute to the country's sustainability goals.</w:t>
      </w:r>
    </w:p>
    <w:p w14:paraId="0A98BCF9" w14:textId="77777777"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Timescale (start/end date):</w:t>
      </w:r>
    </w:p>
    <w:p w14:paraId="20965914" w14:textId="237F1D63" w:rsidR="002B6508" w:rsidRPr="00167048" w:rsidRDefault="00A5780A" w:rsidP="002B6508">
      <w:pPr>
        <w:rPr>
          <w:rFonts w:ascii="Times New Roman" w:hAnsi="Times New Roman" w:cs="Times New Roman"/>
          <w:sz w:val="24"/>
          <w:szCs w:val="24"/>
          <w:lang w:val="en-US"/>
        </w:rPr>
      </w:pPr>
      <w:r>
        <w:rPr>
          <w:rFonts w:ascii="Times New Roman" w:hAnsi="Times New Roman" w:cs="Times New Roman"/>
          <w:sz w:val="24"/>
          <w:szCs w:val="24"/>
          <w:lang w:val="en-US"/>
        </w:rPr>
        <w:t>2023-2027</w:t>
      </w:r>
    </w:p>
    <w:p w14:paraId="42E405B8" w14:textId="77777777"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Resources needed:</w:t>
      </w:r>
    </w:p>
    <w:p w14:paraId="57FAFE82" w14:textId="665A7752" w:rsidR="00205AFD" w:rsidRDefault="00205AFD" w:rsidP="002B6508">
      <w:pPr>
        <w:rPr>
          <w:rFonts w:ascii="Times New Roman" w:hAnsi="Times New Roman" w:cs="Times New Roman"/>
          <w:sz w:val="24"/>
          <w:szCs w:val="24"/>
          <w:lang w:val="en-US"/>
        </w:rPr>
      </w:pPr>
      <w:r w:rsidRPr="00205AFD">
        <w:rPr>
          <w:rFonts w:ascii="Times New Roman" w:hAnsi="Times New Roman" w:cs="Times New Roman"/>
          <w:sz w:val="24"/>
          <w:szCs w:val="24"/>
          <w:lang w:val="en-US"/>
        </w:rPr>
        <w:t xml:space="preserve">Policy changes were required to prioritize photovoltaic (PV) systems in </w:t>
      </w:r>
      <w:r w:rsidR="00CD6B11">
        <w:rPr>
          <w:rFonts w:ascii="Times New Roman" w:hAnsi="Times New Roman" w:cs="Times New Roman"/>
          <w:sz w:val="24"/>
          <w:szCs w:val="24"/>
          <w:lang w:val="en-US"/>
        </w:rPr>
        <w:t xml:space="preserve">CAP farm investment </w:t>
      </w:r>
      <w:r w:rsidR="00CD6B11" w:rsidRPr="00205AFD">
        <w:rPr>
          <w:rFonts w:ascii="Times New Roman" w:hAnsi="Times New Roman" w:cs="Times New Roman"/>
          <w:sz w:val="24"/>
          <w:szCs w:val="24"/>
          <w:lang w:val="en-US"/>
        </w:rPr>
        <w:t>project</w:t>
      </w:r>
      <w:r w:rsidR="00CD6B11">
        <w:rPr>
          <w:rFonts w:ascii="Times New Roman" w:hAnsi="Times New Roman" w:cs="Times New Roman"/>
          <w:sz w:val="24"/>
          <w:szCs w:val="24"/>
          <w:lang w:val="en-US"/>
        </w:rPr>
        <w:t>s</w:t>
      </w:r>
      <w:r w:rsidR="00CD6B11" w:rsidRPr="00205AFD">
        <w:rPr>
          <w:rFonts w:ascii="Times New Roman" w:hAnsi="Times New Roman" w:cs="Times New Roman"/>
          <w:sz w:val="24"/>
          <w:szCs w:val="24"/>
          <w:lang w:val="en-US"/>
        </w:rPr>
        <w:t xml:space="preserve"> </w:t>
      </w:r>
      <w:r w:rsidRPr="00205AFD">
        <w:rPr>
          <w:rFonts w:ascii="Times New Roman" w:hAnsi="Times New Roman" w:cs="Times New Roman"/>
          <w:sz w:val="24"/>
          <w:szCs w:val="24"/>
          <w:lang w:val="en-US"/>
        </w:rPr>
        <w:t>evaluation</w:t>
      </w:r>
      <w:r w:rsidR="00CD6B11">
        <w:rPr>
          <w:rFonts w:ascii="Times New Roman" w:hAnsi="Times New Roman" w:cs="Times New Roman"/>
          <w:sz w:val="24"/>
          <w:szCs w:val="24"/>
          <w:lang w:val="en-US"/>
        </w:rPr>
        <w:t xml:space="preserve"> process</w:t>
      </w:r>
      <w:r w:rsidRPr="00205AFD">
        <w:rPr>
          <w:rFonts w:ascii="Times New Roman" w:hAnsi="Times New Roman" w:cs="Times New Roman"/>
          <w:sz w:val="24"/>
          <w:szCs w:val="24"/>
          <w:lang w:val="en-US"/>
        </w:rPr>
        <w:t>. Additional financial and advisory resources were also allocated.</w:t>
      </w:r>
    </w:p>
    <w:p w14:paraId="27933AE0" w14:textId="77777777" w:rsidR="00205AFD" w:rsidRDefault="00205AFD" w:rsidP="002B6508">
      <w:pPr>
        <w:rPr>
          <w:rFonts w:ascii="Times New Roman" w:hAnsi="Times New Roman" w:cs="Times New Roman"/>
          <w:sz w:val="24"/>
          <w:szCs w:val="24"/>
          <w:lang w:val="en-US"/>
        </w:rPr>
      </w:pPr>
    </w:p>
    <w:p w14:paraId="63D2171D" w14:textId="77777777" w:rsidR="00205AFD" w:rsidRDefault="00205AFD" w:rsidP="002B6508">
      <w:pPr>
        <w:rPr>
          <w:rFonts w:ascii="Times New Roman" w:hAnsi="Times New Roman" w:cs="Times New Roman"/>
          <w:sz w:val="24"/>
          <w:szCs w:val="24"/>
          <w:lang w:val="en-US"/>
        </w:rPr>
      </w:pPr>
    </w:p>
    <w:p w14:paraId="0FEABC02" w14:textId="56465906"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Evidence of success (results achieved):</w:t>
      </w:r>
    </w:p>
    <w:p w14:paraId="3B3B5CD6" w14:textId="37A08032" w:rsidR="002B6508" w:rsidRPr="00167048" w:rsidRDefault="002B6508" w:rsidP="002B6508">
      <w:pPr>
        <w:rPr>
          <w:rFonts w:ascii="Times New Roman" w:hAnsi="Times New Roman" w:cs="Times New Roman"/>
          <w:sz w:val="24"/>
          <w:szCs w:val="24"/>
          <w:lang w:val="en-US"/>
        </w:rPr>
      </w:pPr>
      <w:bookmarkStart w:id="0" w:name="_Hlk193322358"/>
      <w:r w:rsidRPr="00167048">
        <w:rPr>
          <w:rFonts w:ascii="Times New Roman" w:hAnsi="Times New Roman" w:cs="Times New Roman"/>
          <w:sz w:val="24"/>
          <w:szCs w:val="24"/>
          <w:lang w:val="en-US"/>
        </w:rPr>
        <w:t>The practice achieved significant results. More than 1,000 solar power plants in agriculture have been installed in Lithuania, the total capacity of which exceeded 80 MW. This made it possible to reduce farmers' energy costs, and the share of renewable energy in agriculture increased to 17% (according to the data of the Ministry of the Environment of Lithuania). After implementing this practice, farmers saved more than 5 million. EUR per year for energy bills alone.</w:t>
      </w:r>
    </w:p>
    <w:p w14:paraId="6F655BD9" w14:textId="77777777" w:rsidR="002B6508" w:rsidRPr="00167048" w:rsidRDefault="002B6508" w:rsidP="002B6508">
      <w:pPr>
        <w:rPr>
          <w:rFonts w:ascii="Times New Roman" w:hAnsi="Times New Roman" w:cs="Times New Roman"/>
          <w:sz w:val="24"/>
          <w:szCs w:val="24"/>
          <w:lang w:val="en-US"/>
        </w:rPr>
      </w:pPr>
      <w:r w:rsidRPr="00167048">
        <w:rPr>
          <w:rFonts w:ascii="Times New Roman" w:hAnsi="Times New Roman" w:cs="Times New Roman"/>
          <w:sz w:val="24"/>
          <w:szCs w:val="24"/>
          <w:lang w:val="en-US"/>
        </w:rPr>
        <w:lastRenderedPageBreak/>
        <w:t>In addition, these projects contributed to Lithuania's obligations to reduce CO2 emissions in accordance with the goals of the European Green Deal and the climate change strategy.</w:t>
      </w:r>
    </w:p>
    <w:bookmarkEnd w:id="0"/>
    <w:p w14:paraId="1E81996E" w14:textId="77777777" w:rsidR="002B6508" w:rsidRPr="00167048" w:rsidRDefault="002B6508" w:rsidP="002B6508">
      <w:pPr>
        <w:rPr>
          <w:rFonts w:ascii="Times New Roman" w:hAnsi="Times New Roman" w:cs="Times New Roman"/>
          <w:b/>
          <w:bCs/>
          <w:sz w:val="24"/>
          <w:szCs w:val="24"/>
          <w:lang w:val="en-US"/>
        </w:rPr>
      </w:pPr>
      <w:r w:rsidRPr="00167048">
        <w:rPr>
          <w:rFonts w:ascii="Times New Roman" w:hAnsi="Times New Roman" w:cs="Times New Roman"/>
          <w:b/>
          <w:bCs/>
          <w:sz w:val="24"/>
          <w:szCs w:val="24"/>
          <w:lang w:val="en-US"/>
        </w:rPr>
        <w:t>Potential for learning or transfer:</w:t>
      </w:r>
    </w:p>
    <w:p w14:paraId="6CE7E5B4" w14:textId="6CAD079F" w:rsidR="002B6508" w:rsidRPr="00167048" w:rsidRDefault="002B6508" w:rsidP="002B6508">
      <w:pPr>
        <w:rPr>
          <w:rFonts w:ascii="Times New Roman" w:hAnsi="Times New Roman" w:cs="Times New Roman"/>
          <w:sz w:val="24"/>
          <w:szCs w:val="24"/>
          <w:lang w:val="en-US"/>
        </w:rPr>
      </w:pPr>
      <w:r w:rsidRPr="00167048">
        <w:rPr>
          <w:rFonts w:ascii="Times New Roman" w:hAnsi="Times New Roman" w:cs="Times New Roman"/>
          <w:sz w:val="24"/>
          <w:szCs w:val="24"/>
          <w:lang w:val="en-US"/>
        </w:rPr>
        <w:t>This practice is a successful example of how it is possible to combine the modernization of the agricultural sector and the achievement of environmental goals through the introduction of renewable energy sources. Lithuania has already shared this experience with other EU countries, such as Latvia and Estonia, which have implemented similar initiatives based on Lithuania's example and adapting them to their regional conditions.</w:t>
      </w:r>
      <w:r w:rsidR="009B5CF2" w:rsidRPr="009B5CF2">
        <w:rPr>
          <w:rFonts w:ascii="Times New Roman" w:hAnsi="Times New Roman" w:cs="Times New Roman"/>
          <w:sz w:val="24"/>
          <w:szCs w:val="24"/>
          <w:lang w:val="en-US"/>
        </w:rPr>
        <w:t xml:space="preserve"> </w:t>
      </w:r>
      <w:r w:rsidR="009B5CF2" w:rsidRPr="00167048">
        <w:rPr>
          <w:rFonts w:ascii="Times New Roman" w:hAnsi="Times New Roman" w:cs="Times New Roman"/>
          <w:sz w:val="24"/>
          <w:szCs w:val="24"/>
          <w:lang w:val="en-US"/>
        </w:rPr>
        <w:t xml:space="preserve">Similar practices can easily be adopted in other countries, but different legislation and the characteristics of the energy sector should be </w:t>
      </w:r>
      <w:proofErr w:type="gramStart"/>
      <w:r w:rsidR="009B5CF2" w:rsidRPr="00167048">
        <w:rPr>
          <w:rFonts w:ascii="Times New Roman" w:hAnsi="Times New Roman" w:cs="Times New Roman"/>
          <w:sz w:val="24"/>
          <w:szCs w:val="24"/>
          <w:lang w:val="en-US"/>
        </w:rPr>
        <w:t>taken into account</w:t>
      </w:r>
      <w:proofErr w:type="gramEnd"/>
      <w:r w:rsidR="009B5CF2" w:rsidRPr="00167048">
        <w:rPr>
          <w:rFonts w:ascii="Times New Roman" w:hAnsi="Times New Roman" w:cs="Times New Roman"/>
          <w:sz w:val="24"/>
          <w:szCs w:val="24"/>
          <w:lang w:val="en-US"/>
        </w:rPr>
        <w:t>.</w:t>
      </w:r>
    </w:p>
    <w:p w14:paraId="0CEB6321" w14:textId="067C3796" w:rsidR="002B6508" w:rsidRDefault="002B6508" w:rsidP="002B6508">
      <w:pPr>
        <w:rPr>
          <w:rFonts w:ascii="Times New Roman" w:hAnsi="Times New Roman" w:cs="Times New Roman"/>
          <w:sz w:val="24"/>
          <w:szCs w:val="24"/>
          <w:lang w:val="en-US"/>
        </w:rPr>
      </w:pPr>
      <w:r w:rsidRPr="00167048">
        <w:rPr>
          <w:rFonts w:ascii="Times New Roman" w:hAnsi="Times New Roman" w:cs="Times New Roman"/>
          <w:sz w:val="24"/>
          <w:szCs w:val="24"/>
          <w:lang w:val="en-US"/>
        </w:rPr>
        <w:t xml:space="preserve">Key success factors are a clear funding structure, strong public-private </w:t>
      </w:r>
      <w:proofErr w:type="gramStart"/>
      <w:r w:rsidRPr="00167048">
        <w:rPr>
          <w:rFonts w:ascii="Times New Roman" w:hAnsi="Times New Roman" w:cs="Times New Roman"/>
          <w:sz w:val="24"/>
          <w:szCs w:val="24"/>
          <w:lang w:val="en-US"/>
        </w:rPr>
        <w:t>cooperation</w:t>
      </w:r>
      <w:proofErr w:type="gramEnd"/>
      <w:r w:rsidRPr="00167048">
        <w:rPr>
          <w:rFonts w:ascii="Times New Roman" w:hAnsi="Times New Roman" w:cs="Times New Roman"/>
          <w:sz w:val="24"/>
          <w:szCs w:val="24"/>
          <w:lang w:val="en-US"/>
        </w:rPr>
        <w:t xml:space="preserve"> and well-prepared advisory services for farmers. </w:t>
      </w:r>
    </w:p>
    <w:p w14:paraId="026E37FA" w14:textId="5966310F" w:rsidR="0080560D" w:rsidRDefault="0080560D" w:rsidP="002B6508">
      <w:pPr>
        <w:rPr>
          <w:rFonts w:ascii="Times New Roman" w:hAnsi="Times New Roman" w:cs="Times New Roman"/>
          <w:sz w:val="24"/>
          <w:szCs w:val="24"/>
          <w:lang w:val="en-US"/>
        </w:rPr>
      </w:pPr>
    </w:p>
    <w:p w14:paraId="424B8CE3" w14:textId="43445B8E" w:rsidR="0080560D" w:rsidRPr="0080560D" w:rsidRDefault="0080560D" w:rsidP="0080560D">
      <w:pPr>
        <w:spacing w:before="100" w:beforeAutospacing="1" w:after="100" w:afterAutospacing="1" w:line="240" w:lineRule="auto"/>
        <w:rPr>
          <w:rFonts w:ascii="Times New Roman" w:hAnsi="Times New Roman" w:cs="Times New Roman"/>
          <w:b/>
          <w:bCs/>
          <w:sz w:val="24"/>
          <w:szCs w:val="24"/>
          <w:lang w:val="en-US"/>
        </w:rPr>
      </w:pPr>
      <w:r w:rsidRPr="0080560D">
        <w:rPr>
          <w:rFonts w:ascii="Times New Roman" w:hAnsi="Times New Roman" w:cs="Times New Roman"/>
          <w:b/>
          <w:bCs/>
          <w:sz w:val="24"/>
          <w:szCs w:val="24"/>
          <w:lang w:val="en-US"/>
        </w:rPr>
        <w:t>Links</w:t>
      </w:r>
      <w:r>
        <w:rPr>
          <w:rFonts w:ascii="Times New Roman" w:hAnsi="Times New Roman" w:cs="Times New Roman"/>
          <w:b/>
          <w:bCs/>
          <w:sz w:val="24"/>
          <w:szCs w:val="24"/>
          <w:lang w:val="en-US"/>
        </w:rPr>
        <w:t>:</w:t>
      </w:r>
    </w:p>
    <w:p w14:paraId="453693A5" w14:textId="58294B8E" w:rsidR="0080560D" w:rsidRPr="0080560D" w:rsidRDefault="0080560D" w:rsidP="0080560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80560D">
        <w:rPr>
          <w:rFonts w:ascii="Times New Roman" w:eastAsia="Times New Roman" w:hAnsi="Times New Roman" w:cs="Times New Roman"/>
          <w:b/>
          <w:bCs/>
          <w:sz w:val="24"/>
          <w:szCs w:val="24"/>
          <w:lang w:eastAsia="lt-LT"/>
        </w:rPr>
        <w:t>Lietuvos žemės ūkio ministerija</w:t>
      </w:r>
      <w:r w:rsidRPr="0080560D">
        <w:rPr>
          <w:rFonts w:ascii="Times New Roman" w:eastAsia="Times New Roman" w:hAnsi="Times New Roman" w:cs="Times New Roman"/>
          <w:sz w:val="24"/>
          <w:szCs w:val="24"/>
          <w:lang w:eastAsia="lt-LT"/>
        </w:rPr>
        <w:t xml:space="preserve">: </w:t>
      </w:r>
      <w:hyperlink r:id="rId5" w:tgtFrame="_new" w:history="1">
        <w:r w:rsidRPr="0080560D">
          <w:rPr>
            <w:rFonts w:ascii="Times New Roman" w:eastAsia="Times New Roman" w:hAnsi="Times New Roman" w:cs="Times New Roman"/>
            <w:color w:val="0000FF"/>
            <w:sz w:val="24"/>
            <w:szCs w:val="24"/>
            <w:u w:val="single"/>
            <w:lang w:eastAsia="lt-LT"/>
          </w:rPr>
          <w:t>www.zum.lt</w:t>
        </w:r>
      </w:hyperlink>
    </w:p>
    <w:p w14:paraId="59CAF5E9" w14:textId="77777777" w:rsidR="0080560D" w:rsidRPr="00A208AD" w:rsidRDefault="0080560D" w:rsidP="00805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208AD">
        <w:rPr>
          <w:rFonts w:ascii="Times New Roman" w:eastAsia="Times New Roman" w:hAnsi="Times New Roman" w:cs="Times New Roman"/>
          <w:b/>
          <w:bCs/>
          <w:sz w:val="24"/>
          <w:szCs w:val="24"/>
          <w:lang w:eastAsia="lt-LT"/>
        </w:rPr>
        <w:t>Kaimo plėtros programa 2014–2020</w:t>
      </w:r>
      <w:r w:rsidRPr="00A208AD">
        <w:rPr>
          <w:rFonts w:ascii="Times New Roman" w:eastAsia="Times New Roman" w:hAnsi="Times New Roman" w:cs="Times New Roman"/>
          <w:sz w:val="24"/>
          <w:szCs w:val="24"/>
          <w:lang w:eastAsia="lt-LT"/>
        </w:rPr>
        <w:t xml:space="preserve"> ir </w:t>
      </w:r>
      <w:r w:rsidRPr="00A208AD">
        <w:rPr>
          <w:rFonts w:ascii="Times New Roman" w:eastAsia="Times New Roman" w:hAnsi="Times New Roman" w:cs="Times New Roman"/>
          <w:b/>
          <w:bCs/>
          <w:sz w:val="24"/>
          <w:szCs w:val="24"/>
          <w:lang w:eastAsia="lt-LT"/>
        </w:rPr>
        <w:t>2021–2027 m. Kaimo plėtros programa</w:t>
      </w:r>
      <w:r w:rsidRPr="00A208AD">
        <w:rPr>
          <w:rFonts w:ascii="Times New Roman" w:eastAsia="Times New Roman" w:hAnsi="Times New Roman" w:cs="Times New Roman"/>
          <w:sz w:val="24"/>
          <w:szCs w:val="24"/>
          <w:lang w:eastAsia="lt-LT"/>
        </w:rPr>
        <w:t xml:space="preserve">: </w:t>
      </w:r>
      <w:hyperlink r:id="rId6" w:tgtFrame="_new" w:history="1">
        <w:r w:rsidRPr="00A208AD">
          <w:rPr>
            <w:rFonts w:ascii="Times New Roman" w:eastAsia="Times New Roman" w:hAnsi="Times New Roman" w:cs="Times New Roman"/>
            <w:color w:val="0000FF"/>
            <w:sz w:val="24"/>
            <w:szCs w:val="24"/>
            <w:u w:val="single"/>
            <w:lang w:eastAsia="lt-LT"/>
          </w:rPr>
          <w:t>www.nma.lt</w:t>
        </w:r>
      </w:hyperlink>
    </w:p>
    <w:p w14:paraId="5A48DBBC" w14:textId="77777777" w:rsidR="0080560D" w:rsidRPr="00A208AD" w:rsidRDefault="0080560D" w:rsidP="00805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208AD">
        <w:rPr>
          <w:rFonts w:ascii="Times New Roman" w:eastAsia="Times New Roman" w:hAnsi="Times New Roman" w:cs="Times New Roman"/>
          <w:b/>
          <w:bCs/>
          <w:sz w:val="24"/>
          <w:szCs w:val="24"/>
          <w:lang w:eastAsia="lt-LT"/>
        </w:rPr>
        <w:t>Europos Komisija</w:t>
      </w:r>
      <w:r w:rsidRPr="00A208AD">
        <w:rPr>
          <w:rFonts w:ascii="Times New Roman" w:eastAsia="Times New Roman" w:hAnsi="Times New Roman" w:cs="Times New Roman"/>
          <w:sz w:val="24"/>
          <w:szCs w:val="24"/>
          <w:lang w:eastAsia="lt-LT"/>
        </w:rPr>
        <w:t xml:space="preserve"> - Kaimo plėtros finansavimo dokumentai: </w:t>
      </w:r>
      <w:hyperlink r:id="rId7" w:tgtFrame="_new" w:history="1">
        <w:r w:rsidRPr="00A208AD">
          <w:rPr>
            <w:rFonts w:ascii="Times New Roman" w:eastAsia="Times New Roman" w:hAnsi="Times New Roman" w:cs="Times New Roman"/>
            <w:color w:val="0000FF"/>
            <w:sz w:val="24"/>
            <w:szCs w:val="24"/>
            <w:u w:val="single"/>
            <w:lang w:eastAsia="lt-LT"/>
          </w:rPr>
          <w:t>ec.europa.eu</w:t>
        </w:r>
      </w:hyperlink>
    </w:p>
    <w:p w14:paraId="3822B14F" w14:textId="77777777" w:rsidR="0080560D" w:rsidRPr="00A208AD" w:rsidRDefault="0080560D" w:rsidP="0080560D">
      <w:pPr>
        <w:numPr>
          <w:ilvl w:val="0"/>
          <w:numId w:val="1"/>
        </w:numPr>
        <w:spacing w:before="100" w:beforeAutospacing="1" w:after="100" w:afterAutospacing="1" w:line="240" w:lineRule="auto"/>
        <w:rPr>
          <w:rFonts w:ascii="Times New Roman" w:eastAsia="Times New Roman" w:hAnsi="Times New Roman" w:cs="Times New Roman"/>
          <w:sz w:val="24"/>
          <w:szCs w:val="24"/>
          <w:lang w:eastAsia="lt-LT"/>
        </w:rPr>
      </w:pPr>
      <w:r w:rsidRPr="00A208AD">
        <w:rPr>
          <w:rFonts w:ascii="Times New Roman" w:eastAsia="Times New Roman" w:hAnsi="Times New Roman" w:cs="Times New Roman"/>
          <w:b/>
          <w:bCs/>
          <w:sz w:val="24"/>
          <w:szCs w:val="24"/>
          <w:lang w:eastAsia="lt-LT"/>
        </w:rPr>
        <w:t>Lietuvos aplinkos ministerija</w:t>
      </w:r>
      <w:r w:rsidRPr="00A208AD">
        <w:rPr>
          <w:rFonts w:ascii="Times New Roman" w:eastAsia="Times New Roman" w:hAnsi="Times New Roman" w:cs="Times New Roman"/>
          <w:sz w:val="24"/>
          <w:szCs w:val="24"/>
          <w:lang w:eastAsia="lt-LT"/>
        </w:rPr>
        <w:t xml:space="preserve"> - Klimato kaitos ataskaitos: </w:t>
      </w:r>
      <w:hyperlink r:id="rId8" w:tgtFrame="_new" w:history="1">
        <w:proofErr w:type="spellStart"/>
        <w:r w:rsidRPr="00A208AD">
          <w:rPr>
            <w:rFonts w:ascii="Times New Roman" w:eastAsia="Times New Roman" w:hAnsi="Times New Roman" w:cs="Times New Roman"/>
            <w:color w:val="0000FF"/>
            <w:sz w:val="24"/>
            <w:szCs w:val="24"/>
            <w:u w:val="single"/>
            <w:lang w:eastAsia="lt-LT"/>
          </w:rPr>
          <w:t>am.lt</w:t>
        </w:r>
        <w:proofErr w:type="spellEnd"/>
      </w:hyperlink>
    </w:p>
    <w:p w14:paraId="4074F1FB" w14:textId="25F900C3" w:rsidR="0080560D" w:rsidRPr="00167048" w:rsidRDefault="0080560D" w:rsidP="002B6508">
      <w:pPr>
        <w:rPr>
          <w:rFonts w:ascii="Times New Roman" w:hAnsi="Times New Roman" w:cs="Times New Roman"/>
          <w:sz w:val="24"/>
          <w:szCs w:val="24"/>
          <w:lang w:val="en-US"/>
        </w:rPr>
      </w:pPr>
    </w:p>
    <w:sectPr w:rsidR="0080560D" w:rsidRPr="0016704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B312F"/>
    <w:multiLevelType w:val="multilevel"/>
    <w:tmpl w:val="3A7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B251A"/>
    <w:multiLevelType w:val="hybridMultilevel"/>
    <w:tmpl w:val="45AAF686"/>
    <w:lvl w:ilvl="0" w:tplc="04270001">
      <w:start w:val="1"/>
      <w:numFmt w:val="bullet"/>
      <w:lvlText w:val=""/>
      <w:lvlJc w:val="left"/>
      <w:pPr>
        <w:ind w:left="1800" w:hanging="360"/>
      </w:pPr>
      <w:rPr>
        <w:rFonts w:ascii="Symbol" w:hAnsi="Symbol" w:hint="default"/>
      </w:rPr>
    </w:lvl>
    <w:lvl w:ilvl="1" w:tplc="04270003" w:tentative="1">
      <w:start w:val="1"/>
      <w:numFmt w:val="bullet"/>
      <w:lvlText w:val="o"/>
      <w:lvlJc w:val="left"/>
      <w:pPr>
        <w:ind w:left="2520" w:hanging="360"/>
      </w:pPr>
      <w:rPr>
        <w:rFonts w:ascii="Courier New" w:hAnsi="Courier New" w:cs="Courier New" w:hint="default"/>
      </w:rPr>
    </w:lvl>
    <w:lvl w:ilvl="2" w:tplc="04270005" w:tentative="1">
      <w:start w:val="1"/>
      <w:numFmt w:val="bullet"/>
      <w:lvlText w:val=""/>
      <w:lvlJc w:val="left"/>
      <w:pPr>
        <w:ind w:left="3240" w:hanging="360"/>
      </w:pPr>
      <w:rPr>
        <w:rFonts w:ascii="Wingdings" w:hAnsi="Wingdings" w:hint="default"/>
      </w:rPr>
    </w:lvl>
    <w:lvl w:ilvl="3" w:tplc="04270001" w:tentative="1">
      <w:start w:val="1"/>
      <w:numFmt w:val="bullet"/>
      <w:lvlText w:val=""/>
      <w:lvlJc w:val="left"/>
      <w:pPr>
        <w:ind w:left="3960" w:hanging="360"/>
      </w:pPr>
      <w:rPr>
        <w:rFonts w:ascii="Symbol" w:hAnsi="Symbol" w:hint="default"/>
      </w:rPr>
    </w:lvl>
    <w:lvl w:ilvl="4" w:tplc="04270003" w:tentative="1">
      <w:start w:val="1"/>
      <w:numFmt w:val="bullet"/>
      <w:lvlText w:val="o"/>
      <w:lvlJc w:val="left"/>
      <w:pPr>
        <w:ind w:left="4680" w:hanging="360"/>
      </w:pPr>
      <w:rPr>
        <w:rFonts w:ascii="Courier New" w:hAnsi="Courier New" w:cs="Courier New" w:hint="default"/>
      </w:rPr>
    </w:lvl>
    <w:lvl w:ilvl="5" w:tplc="04270005" w:tentative="1">
      <w:start w:val="1"/>
      <w:numFmt w:val="bullet"/>
      <w:lvlText w:val=""/>
      <w:lvlJc w:val="left"/>
      <w:pPr>
        <w:ind w:left="5400" w:hanging="360"/>
      </w:pPr>
      <w:rPr>
        <w:rFonts w:ascii="Wingdings" w:hAnsi="Wingdings" w:hint="default"/>
      </w:rPr>
    </w:lvl>
    <w:lvl w:ilvl="6" w:tplc="04270001" w:tentative="1">
      <w:start w:val="1"/>
      <w:numFmt w:val="bullet"/>
      <w:lvlText w:val=""/>
      <w:lvlJc w:val="left"/>
      <w:pPr>
        <w:ind w:left="6120" w:hanging="360"/>
      </w:pPr>
      <w:rPr>
        <w:rFonts w:ascii="Symbol" w:hAnsi="Symbol" w:hint="default"/>
      </w:rPr>
    </w:lvl>
    <w:lvl w:ilvl="7" w:tplc="04270003" w:tentative="1">
      <w:start w:val="1"/>
      <w:numFmt w:val="bullet"/>
      <w:lvlText w:val="o"/>
      <w:lvlJc w:val="left"/>
      <w:pPr>
        <w:ind w:left="6840" w:hanging="360"/>
      </w:pPr>
      <w:rPr>
        <w:rFonts w:ascii="Courier New" w:hAnsi="Courier New" w:cs="Courier New" w:hint="default"/>
      </w:rPr>
    </w:lvl>
    <w:lvl w:ilvl="8" w:tplc="0427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08"/>
    <w:rsid w:val="000F3915"/>
    <w:rsid w:val="00167048"/>
    <w:rsid w:val="00205AFD"/>
    <w:rsid w:val="002A1748"/>
    <w:rsid w:val="002B6508"/>
    <w:rsid w:val="002D7904"/>
    <w:rsid w:val="00336C61"/>
    <w:rsid w:val="0044375F"/>
    <w:rsid w:val="0080560D"/>
    <w:rsid w:val="00890436"/>
    <w:rsid w:val="008A522A"/>
    <w:rsid w:val="009864EB"/>
    <w:rsid w:val="00992A6B"/>
    <w:rsid w:val="00995401"/>
    <w:rsid w:val="009B5CF2"/>
    <w:rsid w:val="009F367F"/>
    <w:rsid w:val="00A5780A"/>
    <w:rsid w:val="00AB1017"/>
    <w:rsid w:val="00B121AE"/>
    <w:rsid w:val="00C66F80"/>
    <w:rsid w:val="00C871E7"/>
    <w:rsid w:val="00CD6B11"/>
    <w:rsid w:val="00CD6C5E"/>
    <w:rsid w:val="00EF62D8"/>
    <w:rsid w:val="00F95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4BA9"/>
  <w15:chartTrackingRefBased/>
  <w15:docId w15:val="{DBE37912-31E6-4DD6-8BB4-1E52E1F7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60D"/>
    <w:pPr>
      <w:ind w:left="720"/>
      <w:contextualSpacing/>
    </w:pPr>
  </w:style>
  <w:style w:type="paragraph" w:styleId="BalloonText">
    <w:name w:val="Balloon Text"/>
    <w:basedOn w:val="Normal"/>
    <w:link w:val="BalloonTextChar"/>
    <w:uiPriority w:val="99"/>
    <w:semiHidden/>
    <w:unhideWhenUsed/>
    <w:rsid w:val="009954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49002">
      <w:bodyDiv w:val="1"/>
      <w:marLeft w:val="0"/>
      <w:marRight w:val="0"/>
      <w:marTop w:val="0"/>
      <w:marBottom w:val="0"/>
      <w:divBdr>
        <w:top w:val="none" w:sz="0" w:space="0" w:color="auto"/>
        <w:left w:val="none" w:sz="0" w:space="0" w:color="auto"/>
        <w:bottom w:val="none" w:sz="0" w:space="0" w:color="auto"/>
        <w:right w:val="none" w:sz="0" w:space="0" w:color="auto"/>
      </w:divBdr>
    </w:div>
    <w:div w:id="19385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lt" TargetMode="External"/><Relationship Id="rId3" Type="http://schemas.openxmlformats.org/officeDocument/2006/relationships/settings" Target="settings.xml"/><Relationship Id="rId7" Type="http://schemas.openxmlformats.org/officeDocument/2006/relationships/hyperlink" Target="https://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ma.lt" TargetMode="External"/><Relationship Id="rId5" Type="http://schemas.openxmlformats.org/officeDocument/2006/relationships/hyperlink" Target="https://www.zum.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1565</TotalTime>
  <Pages>2</Pages>
  <Words>2538</Words>
  <Characters>1448</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Nacionaline mokejimo agentura prie ZUM</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Pravdzinskas</dc:creator>
  <cp:keywords/>
  <dc:description/>
  <cp:lastModifiedBy>Audrius Pravdzinskas</cp:lastModifiedBy>
  <cp:revision>32</cp:revision>
  <dcterms:created xsi:type="dcterms:W3CDTF">2025-03-17T06:38:00Z</dcterms:created>
  <dcterms:modified xsi:type="dcterms:W3CDTF">2025-03-21T15:04:00Z</dcterms:modified>
</cp:coreProperties>
</file>